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52326" w14:textId="5C14B87B" w:rsidR="006B5E06" w:rsidRPr="006B5E06" w:rsidRDefault="006B5E06" w:rsidP="007F7C37">
      <w:pPr>
        <w:pStyle w:val="ae"/>
        <w:rPr>
          <w:rFonts w:cs="Times New Roman"/>
          <w:b/>
          <w:bCs/>
          <w:i w:val="0"/>
          <w:color w:val="auto"/>
          <w:sz w:val="24"/>
        </w:rPr>
      </w:pPr>
      <w:bookmarkStart w:id="0" w:name="_Hlk170581798"/>
      <w:r w:rsidRPr="006B5E06">
        <w:rPr>
          <w:rFonts w:cs="Times New Roman"/>
          <w:b/>
          <w:bCs/>
          <w:i w:val="0"/>
          <w:color w:val="auto"/>
          <w:sz w:val="24"/>
        </w:rPr>
        <w:t>Statistical review of Development Methodology</w:t>
      </w:r>
    </w:p>
    <w:p w14:paraId="7E5277EC" w14:textId="55452D1E" w:rsidR="006B5E06" w:rsidRPr="006B5E06" w:rsidRDefault="006B5E06" w:rsidP="006B5E06">
      <w:pPr>
        <w:rPr>
          <w:rFonts w:ascii="Times New Roman" w:hAnsi="Times New Roman"/>
          <w:lang w:val="en-AU" w:eastAsia="en-US"/>
        </w:rPr>
      </w:pPr>
      <w:r w:rsidRPr="006B5E06">
        <w:rPr>
          <w:rFonts w:ascii="Times New Roman" w:hAnsi="Times New Roman"/>
          <w:lang w:val="en-AU" w:eastAsia="en-US"/>
        </w:rPr>
        <w:t>Detailed responses are provided in Table S1, with key responses summarised below.</w:t>
      </w:r>
    </w:p>
    <w:p w14:paraId="1CF846DC" w14:textId="77777777" w:rsidR="006B5E06" w:rsidRPr="006B5E06" w:rsidRDefault="006B5E06" w:rsidP="006B5E06">
      <w:pPr>
        <w:rPr>
          <w:rFonts w:ascii="Times New Roman" w:hAnsi="Times New Roman"/>
          <w:lang w:val="en-AU" w:eastAsia="en-US"/>
        </w:rPr>
      </w:pPr>
    </w:p>
    <w:p w14:paraId="79EB1214" w14:textId="77777777" w:rsidR="006B5E06" w:rsidRPr="006B5E06" w:rsidRDefault="006B5E06" w:rsidP="006B5E06">
      <w:pPr>
        <w:pStyle w:val="MDPI31text"/>
        <w:numPr>
          <w:ilvl w:val="0"/>
          <w:numId w:val="8"/>
        </w:numPr>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The initial literature review found 16,115 silica-related exposure measures predominantly from North America. Each record in the database represented either a single measurement or a set of measurements summarised by statistical parameters. In addition to the exposure levels in mg/m</w:t>
      </w:r>
      <w:r w:rsidRPr="006B5E06">
        <w:rPr>
          <w:rFonts w:ascii="Times New Roman" w:eastAsiaTheme="minorEastAsia" w:hAnsi="Times New Roman"/>
          <w:color w:val="auto"/>
          <w:vertAlign w:val="superscript"/>
          <w:lang w:eastAsia="zh-CN"/>
        </w:rPr>
        <w:t>3</w:t>
      </w:r>
      <w:r w:rsidRPr="006B5E06">
        <w:rPr>
          <w:rFonts w:ascii="Times New Roman" w:eastAsiaTheme="minorEastAsia" w:hAnsi="Times New Roman"/>
          <w:color w:val="auto"/>
          <w:lang w:eastAsia="zh-CN"/>
        </w:rPr>
        <w:t>, the database included several parameters describing exposure determinants such as trade, task, tool, material, geographic region, sample duration, and industry sector. Records with missing task descriptions, and those with two or more tasks reported to be performed within the sampling period were excluded. Of the 16,115 measurements only 27% (n=4351) met the validation criteria and were used for modelling.</w:t>
      </w:r>
    </w:p>
    <w:p w14:paraId="4A21953B" w14:textId="77777777" w:rsidR="006B5E06" w:rsidRPr="006B5E06" w:rsidRDefault="006B5E06" w:rsidP="006B5E06">
      <w:pPr>
        <w:pStyle w:val="MDPI31text"/>
        <w:ind w:left="835" w:hanging="410"/>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2.</w:t>
      </w:r>
      <w:r w:rsidRPr="006B5E06">
        <w:rPr>
          <w:rFonts w:ascii="Times New Roman" w:eastAsiaTheme="minorEastAsia" w:hAnsi="Times New Roman"/>
          <w:color w:val="auto"/>
          <w:lang w:eastAsia="zh-CN"/>
        </w:rPr>
        <w:tab/>
        <w:t>To include both individual and summarised exposure data in the analysis, each set of summary results was processed using the following statistical methodology:</w:t>
      </w:r>
    </w:p>
    <w:p w14:paraId="0566DDF7" w14:textId="77777777" w:rsidR="006B5E06" w:rsidRPr="006B5E06" w:rsidRDefault="006B5E06" w:rsidP="006B5E06">
      <w:pPr>
        <w:pStyle w:val="MDPI31text"/>
        <w:ind w:left="84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a.</w:t>
      </w:r>
      <w:r w:rsidRPr="006B5E06">
        <w:rPr>
          <w:rFonts w:ascii="Times New Roman" w:eastAsiaTheme="minorEastAsia" w:hAnsi="Times New Roman"/>
          <w:color w:val="auto"/>
          <w:lang w:eastAsia="zh-CN"/>
        </w:rPr>
        <w:tab/>
        <w:t xml:space="preserve">For each publication providing summary parameters, geometric means (GM) and geometric standard deviations (GSD) were derived from available parameters - the arithmetic mean and the arithmetic standard deviation, the median and/or the range- assuming a log-normal distribution of the exposure variable. </w:t>
      </w:r>
    </w:p>
    <w:p w14:paraId="565E04ED" w14:textId="77777777" w:rsidR="006B5E06" w:rsidRPr="006B5E06" w:rsidRDefault="006B5E06" w:rsidP="006B5E06">
      <w:pPr>
        <w:pStyle w:val="MDPI31text"/>
        <w:ind w:left="84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b.</w:t>
      </w:r>
      <w:r w:rsidRPr="006B5E06">
        <w:rPr>
          <w:rFonts w:ascii="Times New Roman" w:eastAsiaTheme="minorEastAsia" w:hAnsi="Times New Roman"/>
          <w:color w:val="auto"/>
          <w:lang w:eastAsia="zh-CN"/>
        </w:rPr>
        <w:tab/>
        <w:t>Monte–Carlo simulations were then used to recreate individual exposures from summary parameters. Each summarised record was replaced by a number of simulated exposures equal to the reported sample size, while the associated exposure variables remained the same. As an example, for a publication with a sample size of 30, 30 individual concentrations would be generated and coupled with identical exposure determinants (trade, tool, task etc.).</w:t>
      </w:r>
    </w:p>
    <w:p w14:paraId="6FEFDAC7" w14:textId="77777777" w:rsidR="006B5E06" w:rsidRPr="006B5E06" w:rsidRDefault="006B5E06" w:rsidP="006B5E06">
      <w:pPr>
        <w:pStyle w:val="MDPI31text"/>
        <w:ind w:left="84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c.</w:t>
      </w:r>
      <w:r w:rsidRPr="006B5E06">
        <w:rPr>
          <w:rFonts w:ascii="Times New Roman" w:eastAsiaTheme="minorEastAsia" w:hAnsi="Times New Roman"/>
          <w:color w:val="auto"/>
          <w:lang w:eastAsia="zh-CN"/>
        </w:rPr>
        <w:tab/>
        <w:t>The simulated data were then combined with the other individual measurements prior to any analysis.</w:t>
      </w:r>
    </w:p>
    <w:p w14:paraId="5FA8E699" w14:textId="77777777" w:rsidR="006B5E06" w:rsidRPr="006B5E06" w:rsidRDefault="006B5E06" w:rsidP="006B5E06">
      <w:pPr>
        <w:pStyle w:val="MDPI31text"/>
        <w:ind w:left="420"/>
        <w:rPr>
          <w:rFonts w:ascii="Times New Roman" w:eastAsiaTheme="minorEastAsia" w:hAnsi="Times New Roman"/>
          <w:color w:val="auto"/>
          <w:lang w:eastAsia="zh-CN"/>
        </w:rPr>
      </w:pPr>
    </w:p>
    <w:p w14:paraId="6DA36168" w14:textId="77777777" w:rsidR="006B5E06" w:rsidRPr="006B5E06" w:rsidRDefault="006B5E06" w:rsidP="006B5E06">
      <w:pPr>
        <w:pStyle w:val="MDPI31text"/>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The methodology used to transform the summarised data into individual data for analysis is statistically sound. However, there are several drawbacks to this approach, namely the fact that all records from a publication will have identical exposure determinants. Secondly, due to the random simulation of this data (Monte Carlo simulations), it is unclear from the reviewed literature whether a re-run of the summary data would reproduce the exact same results.</w:t>
      </w:r>
    </w:p>
    <w:p w14:paraId="2FDCCD37" w14:textId="77777777" w:rsidR="006B5E06" w:rsidRPr="006B5E06" w:rsidRDefault="006B5E06" w:rsidP="006B5E06">
      <w:pPr>
        <w:pStyle w:val="MDPI31text"/>
        <w:ind w:left="42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3.</w:t>
      </w:r>
      <w:r w:rsidRPr="006B5E06">
        <w:rPr>
          <w:rFonts w:ascii="Times New Roman" w:eastAsiaTheme="minorEastAsia" w:hAnsi="Times New Roman"/>
          <w:color w:val="auto"/>
          <w:lang w:eastAsia="zh-CN"/>
        </w:rPr>
        <w:tab/>
        <w:t>Statistical modelling was performed using a multi-model average approach. This approach is based on a set of candidate models, rather than a single final model obtained by adding and removing variables.</w:t>
      </w:r>
    </w:p>
    <w:p w14:paraId="44B98954" w14:textId="77777777" w:rsidR="006B5E06" w:rsidRPr="006B5E06" w:rsidRDefault="006B5E06" w:rsidP="006B5E06">
      <w:pPr>
        <w:pStyle w:val="MDPI31text"/>
        <w:ind w:left="42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a.</w:t>
      </w:r>
      <w:r w:rsidRPr="006B5E06">
        <w:rPr>
          <w:rFonts w:ascii="Times New Roman" w:eastAsiaTheme="minorEastAsia" w:hAnsi="Times New Roman"/>
          <w:color w:val="auto"/>
          <w:lang w:eastAsia="zh-CN"/>
        </w:rPr>
        <w:tab/>
        <w:t>The set of candidate models are constructed by first creating models containing all possible presence/absence combinations of exposure determinants (trade, task, material, duration etc). This resulted in a preliminary list of 64 models.</w:t>
      </w:r>
    </w:p>
    <w:p w14:paraId="1CD626E5" w14:textId="77777777" w:rsidR="006B5E06" w:rsidRPr="006B5E06" w:rsidRDefault="006B5E06" w:rsidP="006B5E06">
      <w:pPr>
        <w:pStyle w:val="MDPI31text"/>
        <w:ind w:left="42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b.</w:t>
      </w:r>
      <w:r w:rsidRPr="006B5E06">
        <w:rPr>
          <w:rFonts w:ascii="Times New Roman" w:eastAsiaTheme="minorEastAsia" w:hAnsi="Times New Roman"/>
          <w:color w:val="auto"/>
          <w:lang w:eastAsia="zh-CN"/>
        </w:rPr>
        <w:tab/>
        <w:t>The relative quality of each model was calculated from a goodness-of-fit criterion called Akaike information criterion (AIC). Based on this AIC, each model was provided with a weight, where each weight can be seen as the probability of the corresponding model being the best approximating model for the given data.</w:t>
      </w:r>
    </w:p>
    <w:p w14:paraId="5E9EEEB0" w14:textId="77777777" w:rsidR="006B5E06" w:rsidRPr="006B5E06" w:rsidRDefault="006B5E06" w:rsidP="006B5E06">
      <w:pPr>
        <w:pStyle w:val="MDPI31text"/>
        <w:ind w:left="42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c.</w:t>
      </w:r>
      <w:r w:rsidRPr="006B5E06">
        <w:rPr>
          <w:rFonts w:ascii="Times New Roman" w:eastAsiaTheme="minorEastAsia" w:hAnsi="Times New Roman"/>
          <w:color w:val="auto"/>
          <w:lang w:eastAsia="zh-CN"/>
        </w:rPr>
        <w:tab/>
        <w:t>This modelling procedure was simulated for 20 iterations to account for the variation related to the imputation of individual exposures from summary statistics (as mentioned in the previous point). The mean value of the multi-model averaged regression coefficients across the iterations was used at the estimate.</w:t>
      </w:r>
    </w:p>
    <w:p w14:paraId="1237CB6E" w14:textId="77777777" w:rsidR="006B5E06" w:rsidRPr="006B5E06" w:rsidRDefault="006B5E06" w:rsidP="006B5E06">
      <w:pPr>
        <w:pStyle w:val="MDPI31text"/>
        <w:ind w:left="42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d.</w:t>
      </w:r>
      <w:r w:rsidRPr="006B5E06">
        <w:rPr>
          <w:rFonts w:ascii="Times New Roman" w:eastAsiaTheme="minorEastAsia" w:hAnsi="Times New Roman"/>
          <w:color w:val="auto"/>
          <w:lang w:eastAsia="zh-CN"/>
        </w:rPr>
        <w:tab/>
        <w:t>In the multi-model approach, the coefficients were based on only two of the 64 model structures. The full model (containing all exposure determinants) with a mean weight of 0.94, followed by the full model without the project type variable (mean weight of 0.06).</w:t>
      </w:r>
    </w:p>
    <w:p w14:paraId="0183E73F" w14:textId="77777777" w:rsidR="006B5E06" w:rsidRPr="006B5E06" w:rsidRDefault="006B5E06" w:rsidP="006B5E06">
      <w:pPr>
        <w:pStyle w:val="MDPI31text"/>
        <w:ind w:left="420" w:firstLine="5"/>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e.</w:t>
      </w:r>
      <w:r w:rsidRPr="006B5E06">
        <w:rPr>
          <w:rFonts w:ascii="Times New Roman" w:eastAsiaTheme="minorEastAsia" w:hAnsi="Times New Roman"/>
          <w:color w:val="auto"/>
          <w:lang w:eastAsia="zh-CN"/>
        </w:rPr>
        <w:tab/>
        <w:t>The results of the multi-model approach indicated that the computation of model coefficients and predictions were overwhelmingly based on the full model. This suggests that a more traditional approach such as backwards/forwards stepwise regression would have yielded similar results and would have been easier to explain. This is indeed the approach (forwards stepwise regression) employed by the Tool in more recent times (2021).</w:t>
      </w:r>
    </w:p>
    <w:p w14:paraId="3C4B1CC6" w14:textId="148115CA" w:rsidR="006B5E06" w:rsidRDefault="006B5E06" w:rsidP="006B5E06">
      <w:pPr>
        <w:pStyle w:val="MDPI31text"/>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The model construct is diagrammatically presented in Figure S1.</w:t>
      </w:r>
    </w:p>
    <w:p w14:paraId="289BBD50" w14:textId="77777777" w:rsidR="006B5E06" w:rsidRDefault="006B5E06" w:rsidP="006B5E06">
      <w:pPr>
        <w:pStyle w:val="MDPI31text"/>
        <w:rPr>
          <w:rFonts w:ascii="Times New Roman" w:eastAsiaTheme="minorEastAsia" w:hAnsi="Times New Roman"/>
          <w:color w:val="auto"/>
          <w:lang w:eastAsia="zh-CN"/>
        </w:rPr>
      </w:pPr>
    </w:p>
    <w:p w14:paraId="79BA5BC8" w14:textId="77777777" w:rsidR="006B5E06" w:rsidRDefault="006B5E06" w:rsidP="006B5E06">
      <w:pPr>
        <w:pStyle w:val="MDPI31text"/>
        <w:jc w:val="center"/>
        <w:rPr>
          <w:rFonts w:ascii="Times New Roman" w:eastAsiaTheme="minorEastAsia" w:hAnsi="Times New Roman"/>
          <w:color w:val="auto"/>
          <w:lang w:eastAsia="zh-CN"/>
        </w:rPr>
      </w:pPr>
      <w:r>
        <w:rPr>
          <w:noProof/>
          <w:lang w:eastAsia="en-AU"/>
        </w:rPr>
        <w:drawing>
          <wp:inline distT="0" distB="0" distL="0" distR="0" wp14:anchorId="697624F1" wp14:editId="7AB70B00">
            <wp:extent cx="6162576" cy="3662886"/>
            <wp:effectExtent l="0" t="0" r="0" b="0"/>
            <wp:docPr id="1301736237" name="Picture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736237" name="Picture 1" descr="A diagram of a model&#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1175" cy="3691772"/>
                    </a:xfrm>
                    <a:prstGeom prst="rect">
                      <a:avLst/>
                    </a:prstGeom>
                    <a:noFill/>
                  </pic:spPr>
                </pic:pic>
              </a:graphicData>
            </a:graphic>
          </wp:inline>
        </w:drawing>
      </w:r>
    </w:p>
    <w:p w14:paraId="7D6010EC" w14:textId="365FBD1B" w:rsidR="006B5E06" w:rsidRPr="00023710" w:rsidRDefault="006B5E06" w:rsidP="006B5E06">
      <w:pPr>
        <w:pStyle w:val="MDPI51figurecaption"/>
        <w:jc w:val="center"/>
        <w:rPr>
          <w:rFonts w:ascii="Times New Roman" w:eastAsia="Yu Mincho Light" w:hAnsi="Times New Roman"/>
          <w:iCs/>
          <w:color w:val="auto"/>
        </w:rPr>
      </w:pPr>
      <w:r w:rsidRPr="00023710">
        <w:rPr>
          <w:rFonts w:ascii="Times New Roman" w:eastAsia="Yu Mincho Light" w:hAnsi="Times New Roman"/>
          <w:b/>
          <w:iCs/>
          <w:color w:val="auto"/>
        </w:rPr>
        <w:t xml:space="preserve">Figure S1. </w:t>
      </w:r>
      <w:r w:rsidRPr="00023710">
        <w:rPr>
          <w:rFonts w:ascii="Times New Roman" w:eastAsia="Yu Mincho Light" w:hAnsi="Times New Roman"/>
          <w:iCs/>
          <w:color w:val="auto"/>
        </w:rPr>
        <w:t>BCCSA Silica Control Tool™ model development.</w:t>
      </w:r>
    </w:p>
    <w:p w14:paraId="262F91A5" w14:textId="77777777" w:rsidR="006B5E06" w:rsidRDefault="006B5E06" w:rsidP="006B5E06">
      <w:pPr>
        <w:pStyle w:val="MDPI31text"/>
        <w:rPr>
          <w:rFonts w:ascii="Times New Roman" w:eastAsiaTheme="minorEastAsia" w:hAnsi="Times New Roman"/>
          <w:bCs/>
          <w:iCs/>
          <w:color w:val="auto"/>
          <w:u w:val="single"/>
          <w:lang w:val="en-AU"/>
        </w:rPr>
      </w:pPr>
      <w:r w:rsidRPr="001309FF">
        <w:rPr>
          <w:rFonts w:ascii="Times New Roman" w:eastAsiaTheme="minorEastAsia" w:hAnsi="Times New Roman"/>
          <w:bCs/>
          <w:iCs/>
          <w:color w:val="auto"/>
          <w:u w:val="single"/>
          <w:lang w:val="en-AU"/>
        </w:rPr>
        <w:t xml:space="preserve">Model </w:t>
      </w:r>
      <w:r>
        <w:rPr>
          <w:rFonts w:ascii="Times New Roman" w:eastAsiaTheme="minorEastAsia" w:hAnsi="Times New Roman"/>
          <w:bCs/>
          <w:iCs/>
          <w:color w:val="auto"/>
          <w:u w:val="single"/>
          <w:lang w:val="en-AU"/>
        </w:rPr>
        <w:t>improvements</w:t>
      </w:r>
    </w:p>
    <w:p w14:paraId="09F323B6" w14:textId="77777777" w:rsidR="006B5E06" w:rsidRDefault="006B5E06" w:rsidP="006B5E06">
      <w:pPr>
        <w:pStyle w:val="MDPI31text"/>
        <w:rPr>
          <w:rFonts w:ascii="Times New Roman" w:eastAsiaTheme="minorEastAsia" w:hAnsi="Times New Roman"/>
          <w:bCs/>
          <w:iCs/>
          <w:color w:val="auto"/>
          <w:lang w:val="en-AU"/>
        </w:rPr>
      </w:pPr>
      <w:r w:rsidRPr="00C72A00">
        <w:rPr>
          <w:rFonts w:ascii="Times New Roman" w:eastAsiaTheme="minorEastAsia" w:hAnsi="Times New Roman"/>
          <w:bCs/>
          <w:iCs/>
          <w:color w:val="auto"/>
          <w:lang w:val="en-AU"/>
        </w:rPr>
        <w:t>The following questions were raised as part of the model development process.</w:t>
      </w:r>
    </w:p>
    <w:p w14:paraId="4FADBC82" w14:textId="77777777" w:rsidR="006B5E06" w:rsidRDefault="006B5E06" w:rsidP="006B5E06">
      <w:pPr>
        <w:pStyle w:val="MDPI31text"/>
        <w:numPr>
          <w:ilvl w:val="0"/>
          <w:numId w:val="9"/>
        </w:numPr>
        <w:rPr>
          <w:rFonts w:ascii="Times New Roman" w:eastAsiaTheme="minorEastAsia" w:hAnsi="Times New Roman"/>
          <w:bCs/>
          <w:iCs/>
          <w:color w:val="auto"/>
          <w:lang w:val="en-AU"/>
        </w:rPr>
      </w:pPr>
      <w:r w:rsidRPr="00C72A00">
        <w:rPr>
          <w:rFonts w:ascii="Times New Roman" w:eastAsiaTheme="minorEastAsia" w:hAnsi="Times New Roman"/>
          <w:bCs/>
          <w:iCs/>
          <w:color w:val="auto"/>
          <w:lang w:val="en-AU"/>
        </w:rPr>
        <w:t>Is there any alternative method to build this model?</w:t>
      </w:r>
    </w:p>
    <w:p w14:paraId="57259454" w14:textId="77777777" w:rsidR="006B5E06" w:rsidRDefault="006B5E06" w:rsidP="006B5E06">
      <w:pPr>
        <w:pStyle w:val="MDPI31text"/>
        <w:numPr>
          <w:ilvl w:val="0"/>
          <w:numId w:val="9"/>
        </w:numPr>
        <w:rPr>
          <w:rFonts w:ascii="Times New Roman" w:eastAsiaTheme="minorEastAsia" w:hAnsi="Times New Roman"/>
          <w:bCs/>
          <w:iCs/>
          <w:color w:val="auto"/>
          <w:lang w:val="en-AU"/>
        </w:rPr>
      </w:pPr>
      <w:r w:rsidRPr="00C72A00">
        <w:rPr>
          <w:rFonts w:ascii="Times New Roman" w:eastAsiaTheme="minorEastAsia" w:hAnsi="Times New Roman"/>
          <w:bCs/>
          <w:iCs/>
          <w:color w:val="auto"/>
          <w:lang w:val="en-AU"/>
        </w:rPr>
        <w:t>How was the model amended for usage in Manitoba in 2021 and why and what were the benefits of doing so?</w:t>
      </w:r>
    </w:p>
    <w:p w14:paraId="57B830D5" w14:textId="77777777" w:rsidR="006B5E06" w:rsidRDefault="006B5E06" w:rsidP="006B5E06">
      <w:pPr>
        <w:pStyle w:val="MDPI31text"/>
        <w:ind w:left="425" w:firstLine="0"/>
        <w:rPr>
          <w:rFonts w:ascii="Times New Roman" w:eastAsiaTheme="minorEastAsia" w:hAnsi="Times New Roman"/>
          <w:bCs/>
          <w:iCs/>
          <w:color w:val="auto"/>
          <w:lang w:val="en-AU"/>
        </w:rPr>
      </w:pPr>
      <w:r>
        <w:rPr>
          <w:rFonts w:ascii="Times New Roman" w:eastAsiaTheme="minorEastAsia" w:hAnsi="Times New Roman"/>
          <w:bCs/>
          <w:iCs/>
          <w:color w:val="auto"/>
          <w:lang w:val="en-AU"/>
        </w:rPr>
        <w:t>Key outcomes were:</w:t>
      </w:r>
    </w:p>
    <w:p w14:paraId="50363ECF" w14:textId="77777777" w:rsidR="006B5E06" w:rsidRPr="006B5E06" w:rsidRDefault="006B5E06" w:rsidP="006B5E06">
      <w:pPr>
        <w:pStyle w:val="MDPI31text"/>
        <w:ind w:left="840" w:firstLine="10"/>
        <w:rPr>
          <w:rFonts w:ascii="Times New Roman" w:eastAsiaTheme="minorEastAsia" w:hAnsi="Times New Roman"/>
          <w:bCs/>
          <w:iCs/>
          <w:color w:val="auto"/>
          <w:lang w:val="en-AU"/>
        </w:rPr>
      </w:pPr>
      <w:r w:rsidRPr="00C72A00">
        <w:rPr>
          <w:rFonts w:ascii="Times New Roman" w:eastAsiaTheme="minorEastAsia" w:hAnsi="Times New Roman"/>
          <w:bCs/>
          <w:iCs/>
          <w:color w:val="auto"/>
          <w:lang w:val="en-AU"/>
        </w:rPr>
        <w:t>1.</w:t>
      </w:r>
      <w:r w:rsidRPr="00C72A00">
        <w:rPr>
          <w:rFonts w:ascii="Times New Roman" w:eastAsiaTheme="minorEastAsia" w:hAnsi="Times New Roman"/>
          <w:bCs/>
          <w:iCs/>
          <w:color w:val="auto"/>
          <w:lang w:val="en-AU"/>
        </w:rPr>
        <w:tab/>
      </w:r>
      <w:r w:rsidRPr="006B5E06">
        <w:rPr>
          <w:rFonts w:ascii="Times New Roman" w:eastAsiaTheme="minorEastAsia" w:hAnsi="Times New Roman"/>
          <w:bCs/>
          <w:iCs/>
          <w:color w:val="auto"/>
          <w:lang w:val="en-AU"/>
        </w:rPr>
        <w:t>The multi-model approach to building a predictive model is certainly not the most common approach to such analysis. The authors have mentioned a simpler backwards/forwards stepwise regression would have been ideal.</w:t>
      </w:r>
    </w:p>
    <w:p w14:paraId="4C146676" w14:textId="77777777" w:rsidR="006B5E06" w:rsidRPr="006B5E06" w:rsidRDefault="006B5E06" w:rsidP="006B5E06">
      <w:pPr>
        <w:pStyle w:val="MDPI31text"/>
        <w:ind w:left="1260" w:firstLine="5"/>
        <w:rPr>
          <w:rFonts w:ascii="Times New Roman" w:eastAsiaTheme="minorEastAsia" w:hAnsi="Times New Roman"/>
          <w:bCs/>
          <w:iCs/>
          <w:color w:val="auto"/>
          <w:lang w:val="en-AU"/>
        </w:rPr>
      </w:pPr>
      <w:r w:rsidRPr="006B5E06">
        <w:rPr>
          <w:rFonts w:ascii="Times New Roman" w:eastAsiaTheme="minorEastAsia" w:hAnsi="Times New Roman"/>
          <w:bCs/>
          <w:iCs/>
          <w:color w:val="auto"/>
          <w:lang w:val="en-AU"/>
        </w:rPr>
        <w:lastRenderedPageBreak/>
        <w:t>a.</w:t>
      </w:r>
      <w:r w:rsidRPr="006B5E06">
        <w:rPr>
          <w:rFonts w:ascii="Times New Roman" w:eastAsiaTheme="minorEastAsia" w:hAnsi="Times New Roman"/>
          <w:bCs/>
          <w:iCs/>
          <w:color w:val="auto"/>
          <w:lang w:val="en-AU"/>
        </w:rPr>
        <w:tab/>
        <w:t>As the objective of this analysis was to build a predictive tool to estimate exposure levels for a set number of exposure determinants, a model validation approach could have been developed. This typically involves using approximately 80% of the database to develop the regression model, then using the remaining 20% of the database to validate the model predictions.</w:t>
      </w:r>
    </w:p>
    <w:p w14:paraId="45AB9FD9" w14:textId="77777777" w:rsidR="006B5E06" w:rsidRPr="006B5E06" w:rsidRDefault="006B5E06" w:rsidP="006B5E06">
      <w:pPr>
        <w:pStyle w:val="MDPI31text"/>
        <w:ind w:left="1260" w:firstLine="5"/>
        <w:rPr>
          <w:rFonts w:ascii="Times New Roman" w:eastAsiaTheme="minorEastAsia" w:hAnsi="Times New Roman"/>
          <w:bCs/>
          <w:iCs/>
          <w:color w:val="auto"/>
          <w:lang w:val="en-AU"/>
        </w:rPr>
      </w:pPr>
      <w:r w:rsidRPr="006B5E06">
        <w:rPr>
          <w:rFonts w:ascii="Times New Roman" w:eastAsiaTheme="minorEastAsia" w:hAnsi="Times New Roman"/>
          <w:bCs/>
          <w:iCs/>
          <w:color w:val="auto"/>
          <w:lang w:val="en-AU"/>
        </w:rPr>
        <w:t>b.</w:t>
      </w:r>
      <w:r w:rsidRPr="006B5E06">
        <w:rPr>
          <w:rFonts w:ascii="Times New Roman" w:eastAsiaTheme="minorEastAsia" w:hAnsi="Times New Roman"/>
          <w:bCs/>
          <w:iCs/>
          <w:color w:val="auto"/>
          <w:lang w:val="en-AU"/>
        </w:rPr>
        <w:tab/>
        <w:t>Although it is not possible to check whether a model validation approach would have yielded a model that better explains the variability in the exposure levels, it would have been reassuring to test the model performance on a set of unseen data.</w:t>
      </w:r>
    </w:p>
    <w:p w14:paraId="64201FA5" w14:textId="77777777" w:rsidR="006B5E06" w:rsidRPr="006B5E06" w:rsidRDefault="006B5E06" w:rsidP="006B5E06">
      <w:pPr>
        <w:pStyle w:val="MDPI31text"/>
        <w:ind w:left="840" w:firstLine="10"/>
        <w:rPr>
          <w:rFonts w:ascii="Times New Roman" w:eastAsiaTheme="minorEastAsia" w:hAnsi="Times New Roman"/>
          <w:bCs/>
          <w:iCs/>
          <w:color w:val="auto"/>
          <w:lang w:val="en-AU"/>
        </w:rPr>
      </w:pPr>
      <w:r w:rsidRPr="006B5E06">
        <w:rPr>
          <w:rFonts w:ascii="Times New Roman" w:eastAsiaTheme="minorEastAsia" w:hAnsi="Times New Roman"/>
          <w:bCs/>
          <w:iCs/>
          <w:color w:val="auto"/>
          <w:lang w:val="en-AU"/>
        </w:rPr>
        <w:t>2.</w:t>
      </w:r>
      <w:r w:rsidRPr="006B5E06">
        <w:rPr>
          <w:rFonts w:ascii="Times New Roman" w:eastAsiaTheme="minorEastAsia" w:hAnsi="Times New Roman"/>
          <w:bCs/>
          <w:iCs/>
          <w:color w:val="auto"/>
          <w:lang w:val="en-AU"/>
        </w:rPr>
        <w:tab/>
        <w:t>By 2021, the exposure database had been expanded with contemporary measurements representing conditions in British Columbia (BC) and Alberta (AB). In addition to this, a comprehensive assessment of RCS exposures across Manitoba construction worksites between June 2018 and August 2022 was undertaken - yielding 121 new measurements across 14 different company sites. In addition, a Bayesian approach to modelling was incorporated. This allowed the authors to combine information from the existing silica prediction model with the new data set collected in Manitoba.</w:t>
      </w:r>
    </w:p>
    <w:p w14:paraId="3F6AF8A6" w14:textId="77777777" w:rsidR="006B5E06" w:rsidRPr="006B5E06" w:rsidRDefault="006B5E06" w:rsidP="006B5E06">
      <w:pPr>
        <w:pStyle w:val="MDPI31text"/>
        <w:ind w:left="840" w:firstLine="10"/>
        <w:rPr>
          <w:rFonts w:ascii="Times New Roman" w:eastAsiaTheme="minorEastAsia" w:hAnsi="Times New Roman"/>
          <w:bCs/>
          <w:iCs/>
          <w:color w:val="auto"/>
          <w:lang w:val="en-AU"/>
        </w:rPr>
      </w:pPr>
      <w:r w:rsidRPr="006B5E06">
        <w:rPr>
          <w:rFonts w:ascii="Times New Roman" w:eastAsiaTheme="minorEastAsia" w:hAnsi="Times New Roman"/>
          <w:bCs/>
          <w:iCs/>
          <w:color w:val="auto"/>
          <w:lang w:val="en-AU"/>
        </w:rPr>
        <w:t>a.</w:t>
      </w:r>
      <w:r w:rsidRPr="006B5E06">
        <w:rPr>
          <w:rFonts w:ascii="Times New Roman" w:eastAsiaTheme="minorEastAsia" w:hAnsi="Times New Roman"/>
          <w:bCs/>
          <w:iCs/>
          <w:color w:val="auto"/>
          <w:lang w:val="en-AU"/>
        </w:rPr>
        <w:tab/>
        <w:t>The key advantage of this is that the existing model provides estimates for generic scenarios and might not be entirely representative of the construction industry in Manitoba. However this existing model is based on a large dataset, enabling some confidence in its predictions. Alternatively, the Manitoba dataset is more representative, however, the small sample size renders direct extrapolation for risk assessment problematic. The combined exposure estimate, therefore, results in an improved risk assessment.</w:t>
      </w:r>
    </w:p>
    <w:p w14:paraId="05D1CDE0" w14:textId="77777777" w:rsidR="006B5E06" w:rsidRPr="006B5E06" w:rsidRDefault="006B5E06" w:rsidP="006B5E06">
      <w:pPr>
        <w:pStyle w:val="MDPI31text"/>
        <w:ind w:left="840" w:firstLine="10"/>
        <w:rPr>
          <w:rFonts w:ascii="Times New Roman" w:eastAsiaTheme="minorEastAsia" w:hAnsi="Times New Roman"/>
          <w:bCs/>
          <w:iCs/>
          <w:color w:val="auto"/>
          <w:lang w:val="en-AU"/>
        </w:rPr>
      </w:pPr>
      <w:r w:rsidRPr="006B5E06">
        <w:rPr>
          <w:rFonts w:ascii="Times New Roman" w:eastAsiaTheme="minorEastAsia" w:hAnsi="Times New Roman"/>
          <w:bCs/>
          <w:iCs/>
          <w:color w:val="auto"/>
          <w:lang w:val="en-AU"/>
        </w:rPr>
        <w:t>b.</w:t>
      </w:r>
      <w:r w:rsidRPr="006B5E06">
        <w:rPr>
          <w:rFonts w:ascii="Times New Roman" w:eastAsiaTheme="minorEastAsia" w:hAnsi="Times New Roman"/>
          <w:bCs/>
          <w:iCs/>
          <w:color w:val="auto"/>
          <w:lang w:val="en-AU"/>
        </w:rPr>
        <w:tab/>
        <w:t>The Manitoba study showed that RCS levels in Manitoba were approximately half that of those found in British Colombia and double those found in Alberta. Hence, it was important to incorporate the Manitoba data into the existing model using a Bayesian approach.</w:t>
      </w:r>
    </w:p>
    <w:p w14:paraId="5CD3CE7C" w14:textId="77777777" w:rsidR="006B5E06" w:rsidRPr="006B5E06" w:rsidRDefault="006B5E06" w:rsidP="006B5E06">
      <w:pPr>
        <w:pStyle w:val="MDPI31text"/>
        <w:ind w:left="840" w:firstLine="10"/>
        <w:rPr>
          <w:rFonts w:ascii="Times New Roman" w:eastAsiaTheme="minorEastAsia" w:hAnsi="Times New Roman"/>
          <w:bCs/>
          <w:iCs/>
          <w:color w:val="auto"/>
          <w:lang w:val="en-AU"/>
        </w:rPr>
      </w:pPr>
      <w:r w:rsidRPr="006B5E06">
        <w:rPr>
          <w:rFonts w:ascii="Times New Roman" w:eastAsiaTheme="minorEastAsia" w:hAnsi="Times New Roman"/>
          <w:bCs/>
          <w:iCs/>
          <w:color w:val="auto"/>
          <w:lang w:val="en-AU"/>
        </w:rPr>
        <w:t>c.</w:t>
      </w:r>
      <w:r w:rsidRPr="006B5E06">
        <w:rPr>
          <w:rFonts w:ascii="Times New Roman" w:eastAsiaTheme="minorEastAsia" w:hAnsi="Times New Roman"/>
          <w:bCs/>
          <w:iCs/>
          <w:color w:val="auto"/>
          <w:lang w:val="en-AU"/>
        </w:rPr>
        <w:tab/>
        <w:t xml:space="preserve">In addition to the Bayesian modelling approach, another change to the model was to use a more traditional modelling technique – forward stepwise linear regression to generate the risk exposures. As mentioned previously, this is a more favourable approach to predictive modelling than the multi-model approach incorporated into the first iteration of the Tool. In this approach, bi-variate analysis (chi-squared and ANOVA tests) were used to select the variable to be included in the final model. The variables included province, task type, control, material, work environment, sampling duration, project type and activity sector. </w:t>
      </w:r>
    </w:p>
    <w:p w14:paraId="44A54928" w14:textId="4C2E742E" w:rsidR="006B5E06" w:rsidRPr="006B5E06" w:rsidRDefault="006B5E06" w:rsidP="006B5E06">
      <w:pPr>
        <w:pStyle w:val="MDPI31text"/>
        <w:ind w:left="840" w:firstLine="10"/>
        <w:rPr>
          <w:rFonts w:ascii="Times New Roman" w:eastAsiaTheme="minorEastAsia" w:hAnsi="Times New Roman"/>
          <w:bCs/>
          <w:iCs/>
          <w:color w:val="auto"/>
          <w:lang w:val="en-AU"/>
        </w:rPr>
      </w:pPr>
      <w:r w:rsidRPr="006B5E06">
        <w:rPr>
          <w:rFonts w:ascii="Times New Roman" w:eastAsiaTheme="minorEastAsia" w:hAnsi="Times New Roman"/>
          <w:bCs/>
          <w:iCs/>
          <w:color w:val="auto"/>
          <w:lang w:val="en-AU"/>
        </w:rPr>
        <w:t>d.</w:t>
      </w:r>
      <w:r w:rsidRPr="006B5E06">
        <w:rPr>
          <w:rFonts w:ascii="Times New Roman" w:eastAsiaTheme="minorEastAsia" w:hAnsi="Times New Roman"/>
          <w:bCs/>
          <w:iCs/>
          <w:color w:val="auto"/>
          <w:lang w:val="en-AU"/>
        </w:rPr>
        <w:tab/>
        <w:t>The authors have now used forward stepwise regression to predict the main risk exposures for the original data and for the Manitoba data. Bayesian techniques have been incorporated to combine the results from the original model and the Manitoba specific model.</w:t>
      </w:r>
    </w:p>
    <w:p w14:paraId="13F462C5" w14:textId="60A5D0A7" w:rsidR="006B5E06" w:rsidRPr="006B5E06" w:rsidRDefault="006B5E06" w:rsidP="006B5E06">
      <w:pPr>
        <w:pStyle w:val="MDPI31text"/>
        <w:ind w:left="420" w:firstLine="420"/>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 xml:space="preserve">The model improvement steps are described in Figure </w:t>
      </w:r>
      <w:r>
        <w:rPr>
          <w:rFonts w:ascii="Times New Roman" w:eastAsiaTheme="minorEastAsia" w:hAnsi="Times New Roman"/>
          <w:color w:val="auto"/>
          <w:lang w:eastAsia="zh-CN"/>
        </w:rPr>
        <w:t>S</w:t>
      </w:r>
      <w:r w:rsidRPr="006B5E06">
        <w:rPr>
          <w:rFonts w:ascii="Times New Roman" w:eastAsiaTheme="minorEastAsia" w:hAnsi="Times New Roman"/>
          <w:color w:val="auto"/>
          <w:lang w:eastAsia="zh-CN"/>
        </w:rPr>
        <w:t>2.</w:t>
      </w:r>
    </w:p>
    <w:p w14:paraId="217DCDE0" w14:textId="77777777" w:rsidR="006B5E06" w:rsidRPr="006B5E06" w:rsidRDefault="006B5E06" w:rsidP="006B5E06">
      <w:pPr>
        <w:pStyle w:val="MDPI31text"/>
        <w:jc w:val="center"/>
        <w:rPr>
          <w:rFonts w:ascii="Times New Roman" w:eastAsiaTheme="minorEastAsia" w:hAnsi="Times New Roman"/>
          <w:color w:val="auto"/>
          <w:lang w:eastAsia="zh-CN"/>
        </w:rPr>
      </w:pPr>
      <w:r w:rsidRPr="006B5E06">
        <w:rPr>
          <w:noProof/>
          <w:lang w:eastAsia="en-AU"/>
        </w:rPr>
        <w:drawing>
          <wp:inline distT="0" distB="0" distL="0" distR="0" wp14:anchorId="56FB338D" wp14:editId="7DAA16D7">
            <wp:extent cx="5256092" cy="1913369"/>
            <wp:effectExtent l="0" t="0" r="1905" b="0"/>
            <wp:docPr id="2071723543" name="Picture 2" descr="A blue squar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723543" name="Picture 2" descr="A blue square with white tex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4756" cy="1923804"/>
                    </a:xfrm>
                    <a:prstGeom prst="rect">
                      <a:avLst/>
                    </a:prstGeom>
                    <a:noFill/>
                  </pic:spPr>
                </pic:pic>
              </a:graphicData>
            </a:graphic>
          </wp:inline>
        </w:drawing>
      </w:r>
    </w:p>
    <w:p w14:paraId="724FC797" w14:textId="13830A3A" w:rsidR="006B5E06" w:rsidRPr="00023710" w:rsidRDefault="006B5E06" w:rsidP="006B5E06">
      <w:pPr>
        <w:pStyle w:val="MDPI51figurecaption"/>
        <w:jc w:val="center"/>
        <w:rPr>
          <w:rFonts w:ascii="Times New Roman" w:eastAsia="Yu Mincho Light" w:hAnsi="Times New Roman"/>
          <w:iCs/>
          <w:color w:val="auto"/>
        </w:rPr>
      </w:pPr>
      <w:r w:rsidRPr="00023710">
        <w:rPr>
          <w:rFonts w:ascii="Times New Roman" w:eastAsia="Yu Mincho Light" w:hAnsi="Times New Roman"/>
          <w:b/>
          <w:iCs/>
          <w:color w:val="auto"/>
        </w:rPr>
        <w:t xml:space="preserve">Figure S2. </w:t>
      </w:r>
      <w:r w:rsidRPr="00023710">
        <w:rPr>
          <w:rFonts w:ascii="Times New Roman" w:eastAsia="Yu Mincho Light" w:hAnsi="Times New Roman"/>
          <w:iCs/>
          <w:color w:val="auto"/>
        </w:rPr>
        <w:t>Improvements incorporating additional data.</w:t>
      </w:r>
    </w:p>
    <w:p w14:paraId="79A8D50D" w14:textId="77777777" w:rsidR="006B5E06" w:rsidRPr="006B5E06" w:rsidRDefault="006B5E06" w:rsidP="006B5E06">
      <w:pPr>
        <w:pStyle w:val="MDPI31text"/>
        <w:rPr>
          <w:rFonts w:ascii="Times New Roman" w:eastAsiaTheme="minorEastAsia" w:hAnsi="Times New Roman"/>
          <w:color w:val="auto"/>
          <w:lang w:eastAsia="zh-CN"/>
        </w:rPr>
      </w:pPr>
      <w:r w:rsidRPr="006B5E06">
        <w:rPr>
          <w:rFonts w:ascii="Times New Roman" w:eastAsiaTheme="minorEastAsia" w:hAnsi="Times New Roman"/>
          <w:color w:val="auto"/>
          <w:lang w:eastAsia="zh-CN"/>
        </w:rPr>
        <w:lastRenderedPageBreak/>
        <w:t>The use of forward or backward multiple linear regression is a more common tool used in public health once univariate and bivariate analyses are undertaken. The preliminary analyses also enable evaluation of the assumptions around the data distribution. In the latter, normality or its transformation is required as a minimum. A range of other assumptions (e.g. outliers) is also a part of the early statistical evaluations.</w:t>
      </w:r>
    </w:p>
    <w:p w14:paraId="5D0254D3" w14:textId="5368B7FC" w:rsidR="006B5E06" w:rsidRPr="006B5E06" w:rsidRDefault="006B5E06" w:rsidP="002E1D4D">
      <w:pPr>
        <w:pStyle w:val="MDPI31text"/>
        <w:spacing w:after="240"/>
        <w:rPr>
          <w:rFonts w:ascii="Times New Roman" w:eastAsiaTheme="minorEastAsia" w:hAnsi="Times New Roman"/>
          <w:color w:val="auto"/>
          <w:lang w:eastAsia="zh-CN"/>
        </w:rPr>
      </w:pPr>
      <w:r w:rsidRPr="006B5E06">
        <w:rPr>
          <w:rFonts w:ascii="Times New Roman" w:eastAsiaTheme="minorEastAsia" w:hAnsi="Times New Roman"/>
          <w:color w:val="auto"/>
          <w:lang w:eastAsia="zh-CN"/>
        </w:rPr>
        <w:t xml:space="preserve">The holistic original model improvements are presented in Figure </w:t>
      </w:r>
      <w:r>
        <w:rPr>
          <w:rFonts w:ascii="Times New Roman" w:eastAsiaTheme="minorEastAsia" w:hAnsi="Times New Roman"/>
          <w:color w:val="auto"/>
          <w:lang w:eastAsia="zh-CN"/>
        </w:rPr>
        <w:t>S</w:t>
      </w:r>
      <w:r w:rsidRPr="006B5E06">
        <w:rPr>
          <w:rFonts w:ascii="Times New Roman" w:eastAsiaTheme="minorEastAsia" w:hAnsi="Times New Roman"/>
          <w:color w:val="auto"/>
          <w:lang w:eastAsia="zh-CN"/>
        </w:rPr>
        <w:t>3.</w:t>
      </w:r>
    </w:p>
    <w:p w14:paraId="71503D34" w14:textId="77777777" w:rsidR="003322FC" w:rsidRDefault="006B5E06" w:rsidP="006B5E06">
      <w:pPr>
        <w:pStyle w:val="MDPI31text"/>
        <w:jc w:val="center"/>
        <w:rPr>
          <w:rFonts w:ascii="Times New Roman" w:eastAsiaTheme="minorEastAsia" w:hAnsi="Times New Roman"/>
          <w:b/>
          <w:iCs/>
          <w:color w:val="auto"/>
          <w:lang w:eastAsia="zh-CN"/>
        </w:rPr>
      </w:pPr>
      <w:r w:rsidRPr="006B5E06">
        <w:rPr>
          <w:noProof/>
          <w:lang w:eastAsia="en-AU"/>
        </w:rPr>
        <w:drawing>
          <wp:inline distT="0" distB="0" distL="0" distR="0" wp14:anchorId="51AA8D88" wp14:editId="4F5E92A1">
            <wp:extent cx="5287010" cy="3488055"/>
            <wp:effectExtent l="0" t="0" r="0" b="0"/>
            <wp:docPr id="1409027470" name="Picture 4" descr="A group of colorful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027470" name="Picture 4" descr="A group of colorful rectangular boxes with text&#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7010" cy="3488055"/>
                    </a:xfrm>
                    <a:prstGeom prst="rect">
                      <a:avLst/>
                    </a:prstGeom>
                    <a:noFill/>
                  </pic:spPr>
                </pic:pic>
              </a:graphicData>
            </a:graphic>
          </wp:inline>
        </w:drawing>
      </w:r>
    </w:p>
    <w:p w14:paraId="7EC14183" w14:textId="2E48DCCB" w:rsidR="006B5E06" w:rsidRPr="00023710" w:rsidRDefault="006B5E06" w:rsidP="006B5E06">
      <w:pPr>
        <w:pStyle w:val="MDPI31text"/>
        <w:jc w:val="center"/>
        <w:rPr>
          <w:rFonts w:ascii="Times New Roman" w:eastAsia="Yu Mincho Light" w:hAnsi="Times New Roman"/>
          <w:iCs/>
          <w:color w:val="auto"/>
        </w:rPr>
      </w:pPr>
      <w:r w:rsidRPr="00023710">
        <w:rPr>
          <w:rFonts w:ascii="Times New Roman" w:eastAsia="Yu Mincho Light" w:hAnsi="Times New Roman"/>
          <w:b/>
          <w:iCs/>
          <w:color w:val="auto"/>
        </w:rPr>
        <w:t xml:space="preserve">Figure S3. </w:t>
      </w:r>
      <w:r w:rsidRPr="00023710">
        <w:rPr>
          <w:rFonts w:ascii="Times New Roman" w:eastAsia="Yu Mincho Light" w:hAnsi="Times New Roman"/>
          <w:iCs/>
          <w:color w:val="auto"/>
        </w:rPr>
        <w:t>Original model improvements.</w:t>
      </w:r>
    </w:p>
    <w:p w14:paraId="11977650" w14:textId="77777777" w:rsidR="008111E6" w:rsidRDefault="008111E6">
      <w:pPr>
        <w:spacing w:after="160" w:line="259" w:lineRule="auto"/>
        <w:jc w:val="left"/>
        <w:rPr>
          <w:rFonts w:ascii="Times New Roman" w:eastAsiaTheme="minorHAnsi" w:hAnsi="Times New Roman"/>
          <w:b/>
          <w:bCs/>
          <w:iCs/>
          <w:color w:val="auto"/>
          <w:sz w:val="24"/>
          <w:szCs w:val="18"/>
          <w:lang w:val="en-AU" w:eastAsia="en-US"/>
        </w:rPr>
      </w:pPr>
      <w:r>
        <w:rPr>
          <w:b/>
          <w:bCs/>
          <w:i/>
          <w:color w:val="auto"/>
          <w:sz w:val="24"/>
        </w:rPr>
        <w:br w:type="page"/>
      </w:r>
    </w:p>
    <w:p w14:paraId="1BAD8BD2" w14:textId="0C14F564" w:rsidR="007F7C37" w:rsidRPr="00187F49" w:rsidRDefault="001E06F3" w:rsidP="001E06F3">
      <w:pPr>
        <w:pStyle w:val="Scilight41tablecaption"/>
        <w:jc w:val="both"/>
        <w:rPr>
          <w:i/>
        </w:rPr>
      </w:pPr>
      <w:r w:rsidRPr="001E06F3">
        <w:rPr>
          <w:b/>
          <w:bCs/>
          <w:iCs/>
        </w:rPr>
        <w:lastRenderedPageBreak/>
        <w:t>Table S1.</w:t>
      </w:r>
      <w:r w:rsidRPr="001E06F3">
        <w:rPr>
          <w:b/>
          <w:bCs/>
          <w:i/>
        </w:rPr>
        <w:t xml:space="preserve"> </w:t>
      </w:r>
      <w:r w:rsidR="007F7C37" w:rsidRPr="00187F49">
        <w:t>Summary of key documentation, presented in chronological order. The table describes key points from the papers, any key issues relating to data gaps and the objective for the respective paper review. Key limitations are highlighted in bold.</w:t>
      </w:r>
    </w:p>
    <w:tbl>
      <w:tblPr>
        <w:tblW w:w="5000" w:type="pct"/>
        <w:tblLook w:val="04A0" w:firstRow="1" w:lastRow="0" w:firstColumn="1" w:lastColumn="0" w:noHBand="0" w:noVBand="1"/>
      </w:tblPr>
      <w:tblGrid>
        <w:gridCol w:w="1347"/>
        <w:gridCol w:w="692"/>
        <w:gridCol w:w="6795"/>
        <w:gridCol w:w="4342"/>
        <w:gridCol w:w="1797"/>
      </w:tblGrid>
      <w:tr w:rsidR="007F7C37" w:rsidRPr="00E02BFA" w14:paraId="4A898A6D" w14:textId="77777777" w:rsidTr="009A05CA">
        <w:tc>
          <w:tcPr>
            <w:tcW w:w="450" w:type="pct"/>
            <w:shd w:val="clear" w:color="auto" w:fill="A5C9EB" w:themeFill="text2" w:themeFillTint="40"/>
          </w:tcPr>
          <w:p w14:paraId="6BD9CA9B" w14:textId="77777777" w:rsidR="007F7C37" w:rsidRPr="00187F49" w:rsidRDefault="007F7C37" w:rsidP="00AB368C">
            <w:pPr>
              <w:jc w:val="center"/>
              <w:rPr>
                <w:b/>
                <w:bCs/>
                <w:sz w:val="16"/>
                <w:szCs w:val="16"/>
              </w:rPr>
            </w:pPr>
            <w:bookmarkStart w:id="1" w:name="_Hlk170638044"/>
            <w:bookmarkEnd w:id="0"/>
            <w:r w:rsidRPr="00187F49">
              <w:rPr>
                <w:b/>
                <w:bCs/>
                <w:sz w:val="16"/>
                <w:szCs w:val="16"/>
              </w:rPr>
              <w:t>Publication</w:t>
            </w:r>
          </w:p>
        </w:tc>
        <w:tc>
          <w:tcPr>
            <w:tcW w:w="2500" w:type="pct"/>
            <w:gridSpan w:val="2"/>
            <w:shd w:val="clear" w:color="auto" w:fill="A5C9EB" w:themeFill="text2" w:themeFillTint="40"/>
          </w:tcPr>
          <w:p w14:paraId="1D3E9BEA" w14:textId="77777777" w:rsidR="007F7C37" w:rsidRPr="00187F49" w:rsidRDefault="007F7C37" w:rsidP="00AB368C">
            <w:pPr>
              <w:jc w:val="center"/>
              <w:rPr>
                <w:b/>
                <w:bCs/>
                <w:sz w:val="16"/>
                <w:szCs w:val="16"/>
              </w:rPr>
            </w:pPr>
            <w:r w:rsidRPr="00187F49">
              <w:rPr>
                <w:b/>
                <w:bCs/>
                <w:sz w:val="16"/>
                <w:szCs w:val="16"/>
              </w:rPr>
              <w:t>Key points</w:t>
            </w:r>
          </w:p>
        </w:tc>
        <w:tc>
          <w:tcPr>
            <w:tcW w:w="1450" w:type="pct"/>
            <w:shd w:val="clear" w:color="auto" w:fill="A5C9EB" w:themeFill="text2" w:themeFillTint="40"/>
          </w:tcPr>
          <w:p w14:paraId="05F02060" w14:textId="77777777" w:rsidR="007F7C37" w:rsidRPr="00187F49" w:rsidRDefault="007F7C37" w:rsidP="00AB368C">
            <w:pPr>
              <w:jc w:val="center"/>
              <w:rPr>
                <w:b/>
                <w:bCs/>
                <w:sz w:val="16"/>
                <w:szCs w:val="16"/>
              </w:rPr>
            </w:pPr>
            <w:r w:rsidRPr="00187F49">
              <w:rPr>
                <w:b/>
                <w:bCs/>
                <w:sz w:val="16"/>
                <w:szCs w:val="16"/>
              </w:rPr>
              <w:t>Comments and gap analysis</w:t>
            </w:r>
          </w:p>
        </w:tc>
        <w:tc>
          <w:tcPr>
            <w:tcW w:w="600" w:type="pct"/>
            <w:shd w:val="clear" w:color="auto" w:fill="A5C9EB" w:themeFill="text2" w:themeFillTint="40"/>
          </w:tcPr>
          <w:p w14:paraId="6816B779" w14:textId="77777777" w:rsidR="007F7C37" w:rsidRPr="00187F49" w:rsidRDefault="007F7C37" w:rsidP="00AB368C">
            <w:pPr>
              <w:jc w:val="center"/>
              <w:rPr>
                <w:b/>
                <w:bCs/>
                <w:sz w:val="16"/>
                <w:szCs w:val="16"/>
              </w:rPr>
            </w:pPr>
            <w:r w:rsidRPr="00187F49">
              <w:rPr>
                <w:b/>
                <w:bCs/>
                <w:sz w:val="16"/>
                <w:szCs w:val="16"/>
              </w:rPr>
              <w:t>Objectives</w:t>
            </w:r>
          </w:p>
        </w:tc>
      </w:tr>
      <w:bookmarkEnd w:id="1"/>
      <w:tr w:rsidR="007F7C37" w:rsidRPr="00E02BFA" w14:paraId="797C2B23" w14:textId="77777777" w:rsidTr="009A05CA">
        <w:tc>
          <w:tcPr>
            <w:tcW w:w="450" w:type="pct"/>
          </w:tcPr>
          <w:p w14:paraId="19905FE7" w14:textId="0E31AA02" w:rsidR="007F7C37" w:rsidRPr="00187F49" w:rsidRDefault="007F7C37" w:rsidP="00AB368C">
            <w:pPr>
              <w:rPr>
                <w:sz w:val="16"/>
                <w:szCs w:val="16"/>
              </w:rPr>
            </w:pPr>
            <w:r w:rsidRPr="00187F49">
              <w:rPr>
                <w:sz w:val="16"/>
                <w:szCs w:val="16"/>
              </w:rPr>
              <w:t>Sauve et al., 2012</w:t>
            </w:r>
            <w:r w:rsidR="0027195C">
              <w:rPr>
                <w:sz w:val="16"/>
                <w:szCs w:val="16"/>
              </w:rPr>
              <w:t xml:space="preserve"> [12]</w:t>
            </w:r>
          </w:p>
        </w:tc>
        <w:tc>
          <w:tcPr>
            <w:tcW w:w="2500" w:type="pct"/>
            <w:gridSpan w:val="2"/>
          </w:tcPr>
          <w:p w14:paraId="52BBCE66"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Initial development work.</w:t>
            </w:r>
          </w:p>
          <w:p w14:paraId="09EA02B7"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Used published data from 1987 to 2009.</w:t>
            </w:r>
          </w:p>
          <w:p w14:paraId="7176C9EB"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Based on personal monitoring not task based monitoring.</w:t>
            </w:r>
          </w:p>
          <w:p w14:paraId="752D3959"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Trade based exposure characterisation.</w:t>
            </w:r>
          </w:p>
          <w:p w14:paraId="62FE0AA2"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Measurements described by determinants.</w:t>
            </w:r>
          </w:p>
          <w:p w14:paraId="46EADA11"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Determinants included trade; work environment; construction sector; tasks; materials, exposure controls; sampling strategy and methodology.</w:t>
            </w:r>
          </w:p>
          <w:p w14:paraId="3ABCA9A0"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Used statistical modelling not transport modelling.</w:t>
            </w:r>
          </w:p>
          <w:p w14:paraId="72C424BB"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Results using official methods sampling only included.</w:t>
            </w:r>
          </w:p>
          <w:p w14:paraId="69C21051"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Descriptive statistics used with log transformations of data.</w:t>
            </w:r>
          </w:p>
          <w:p w14:paraId="54F8F354"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Multi-model averaging used involving model development across all possible variable combinations resulting in 260 models.</w:t>
            </w:r>
          </w:p>
          <w:p w14:paraId="6D9BB9AD"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Models assessed using Akaike weights; evidence ratios; variable coefficient weighted averages; and Tobit models.</w:t>
            </w:r>
          </w:p>
          <w:p w14:paraId="0A2F0BBA"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Modelling procedure applied to 20 iterations of the Monte Carlo simulation calculating averaged model parameters, model weights and R</w:t>
            </w:r>
            <w:r w:rsidRPr="00187F49">
              <w:rPr>
                <w:sz w:val="16"/>
                <w:szCs w:val="16"/>
                <w:vertAlign w:val="superscript"/>
              </w:rPr>
              <w:t>2</w:t>
            </w:r>
            <w:r w:rsidRPr="00187F49">
              <w:rPr>
                <w:sz w:val="16"/>
                <w:szCs w:val="16"/>
              </w:rPr>
              <w:t>, with mean values used for final estimates with RSDs calculated to assess variability.</w:t>
            </w:r>
          </w:p>
          <w:p w14:paraId="49E18502"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Relative indices of exposure (RIE) computed from multi-model averaged coefficients to check quantitative influences of nominal variables on exposure levels.</w:t>
            </w:r>
          </w:p>
          <w:p w14:paraId="6BB87E88" w14:textId="77777777" w:rsidR="007F7C37" w:rsidRDefault="007F7C37" w:rsidP="007F7C37">
            <w:pPr>
              <w:pStyle w:val="a9"/>
              <w:numPr>
                <w:ilvl w:val="0"/>
                <w:numId w:val="3"/>
              </w:numPr>
              <w:spacing w:after="160" w:line="259" w:lineRule="auto"/>
              <w:jc w:val="left"/>
              <w:rPr>
                <w:sz w:val="16"/>
                <w:szCs w:val="16"/>
              </w:rPr>
            </w:pPr>
            <w:r w:rsidRPr="00187F49">
              <w:rPr>
                <w:sz w:val="16"/>
                <w:szCs w:val="16"/>
              </w:rPr>
              <w:t xml:space="preserve">Sampling year and strategy were the most important predictors of RCS exposure levels. </w:t>
            </w:r>
          </w:p>
          <w:p w14:paraId="1FDB1B53" w14:textId="77777777" w:rsidR="007F7C37" w:rsidRPr="00187F49" w:rsidRDefault="007F7C37" w:rsidP="00AB368C">
            <w:pPr>
              <w:pStyle w:val="a9"/>
              <w:rPr>
                <w:sz w:val="16"/>
                <w:szCs w:val="16"/>
              </w:rPr>
            </w:pPr>
          </w:p>
        </w:tc>
        <w:tc>
          <w:tcPr>
            <w:tcW w:w="1450" w:type="pct"/>
          </w:tcPr>
          <w:p w14:paraId="33B3F2A1"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It was acknowledged that the proportion of the variance explained by the full model was relatively low with a mean of 22%.</w:t>
            </w:r>
          </w:p>
          <w:p w14:paraId="196FDC2A"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A key factor associated with this outcome was that the use of construction trades on work shift exposure was found to be a poor predictor. Furthermore it was recognised that an approach to task-based variables would aid in refining exposure understanding.</w:t>
            </w:r>
          </w:p>
          <w:p w14:paraId="735DEA48" w14:textId="77777777" w:rsidR="007F7C37" w:rsidRPr="00187F49" w:rsidRDefault="007F7C37" w:rsidP="007F7C37">
            <w:pPr>
              <w:pStyle w:val="a9"/>
              <w:numPr>
                <w:ilvl w:val="0"/>
                <w:numId w:val="3"/>
              </w:numPr>
              <w:spacing w:after="160" w:line="259" w:lineRule="auto"/>
              <w:jc w:val="left"/>
              <w:rPr>
                <w:b/>
                <w:bCs/>
                <w:sz w:val="16"/>
                <w:szCs w:val="16"/>
                <w:u w:val="single"/>
              </w:rPr>
            </w:pPr>
            <w:r w:rsidRPr="00187F49">
              <w:rPr>
                <w:b/>
                <w:bCs/>
                <w:sz w:val="16"/>
                <w:szCs w:val="16"/>
                <w:u w:val="single"/>
              </w:rPr>
              <w:t>Due to the significant statistical basis to the modelling including its underlying statistical assumptions it is suggested a biostatistician review the statistical methodology.</w:t>
            </w:r>
          </w:p>
        </w:tc>
        <w:tc>
          <w:tcPr>
            <w:tcW w:w="600" w:type="pct"/>
          </w:tcPr>
          <w:p w14:paraId="74F1C0BE" w14:textId="77777777" w:rsidR="007F7C37" w:rsidRPr="00187F49" w:rsidRDefault="007F7C37" w:rsidP="00AB368C">
            <w:pPr>
              <w:rPr>
                <w:sz w:val="16"/>
                <w:szCs w:val="16"/>
              </w:rPr>
            </w:pPr>
            <w:r w:rsidRPr="00187F49">
              <w:rPr>
                <w:sz w:val="16"/>
                <w:szCs w:val="16"/>
              </w:rPr>
              <w:t>Evaluation of data sources and early model constructs.</w:t>
            </w:r>
          </w:p>
        </w:tc>
      </w:tr>
      <w:tr w:rsidR="007F7C37" w:rsidRPr="00E02BFA" w14:paraId="2D86E4A2" w14:textId="77777777" w:rsidTr="009A05CA">
        <w:tc>
          <w:tcPr>
            <w:tcW w:w="450" w:type="pct"/>
          </w:tcPr>
          <w:p w14:paraId="2B8FD022" w14:textId="5F2D7FA6" w:rsidR="007F7C37" w:rsidRPr="00187F49" w:rsidRDefault="007F7C37" w:rsidP="00AB368C">
            <w:pPr>
              <w:rPr>
                <w:sz w:val="16"/>
                <w:szCs w:val="16"/>
              </w:rPr>
            </w:pPr>
            <w:r w:rsidRPr="00187F49">
              <w:rPr>
                <w:sz w:val="16"/>
                <w:szCs w:val="16"/>
              </w:rPr>
              <w:t>Beaudry et al., 2013</w:t>
            </w:r>
            <w:r w:rsidR="0027195C">
              <w:rPr>
                <w:sz w:val="16"/>
                <w:szCs w:val="16"/>
              </w:rPr>
              <w:t xml:space="preserve"> [1</w:t>
            </w:r>
            <w:r w:rsidR="009A091C">
              <w:rPr>
                <w:rFonts w:hint="eastAsia"/>
                <w:sz w:val="16"/>
                <w:szCs w:val="16"/>
              </w:rPr>
              <w:t>6</w:t>
            </w:r>
            <w:r w:rsidR="0027195C">
              <w:rPr>
                <w:sz w:val="16"/>
                <w:szCs w:val="16"/>
              </w:rPr>
              <w:t>]</w:t>
            </w:r>
          </w:p>
        </w:tc>
        <w:tc>
          <w:tcPr>
            <w:tcW w:w="2500" w:type="pct"/>
            <w:gridSpan w:val="2"/>
          </w:tcPr>
          <w:p w14:paraId="473069EA"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This paper reports the compilation of the original exposure data set.</w:t>
            </w:r>
          </w:p>
          <w:p w14:paraId="275C0D60"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Database comprises 6118 records with 2858 related to respirable crystalline silica from 115 sources with 11,845 measurements.</w:t>
            </w:r>
          </w:p>
          <w:p w14:paraId="1179EDC6"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Objective was to enable uniform coding of occupation, tasks tools, materials and exposure control methods; characterise construction site and sampling methodology; and make the database available in a suitable form.</w:t>
            </w:r>
          </w:p>
          <w:p w14:paraId="0DA38CDD"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Each line of OEDB spreadsheet was a single measurement or a group of n measurements described by statistical parameters.</w:t>
            </w:r>
          </w:p>
          <w:p w14:paraId="565FBC25"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Spreadsheet contains 80 parameters across nine classes of information.</w:t>
            </w:r>
          </w:p>
          <w:p w14:paraId="31C1CAAF" w14:textId="77777777" w:rsidR="007F7C37" w:rsidRPr="00187F49" w:rsidRDefault="007F7C37" w:rsidP="007F7C37">
            <w:pPr>
              <w:pStyle w:val="a9"/>
              <w:numPr>
                <w:ilvl w:val="0"/>
                <w:numId w:val="3"/>
              </w:numPr>
              <w:spacing w:after="160" w:line="259" w:lineRule="auto"/>
              <w:jc w:val="left"/>
              <w:rPr>
                <w:sz w:val="16"/>
                <w:szCs w:val="16"/>
              </w:rPr>
            </w:pPr>
            <w:r w:rsidRPr="00187F49">
              <w:rPr>
                <w:sz w:val="16"/>
                <w:szCs w:val="16"/>
              </w:rPr>
              <w:t>Data distribution was US (75%); Europe (21%); Canada (3%) and Asia (1%).</w:t>
            </w:r>
          </w:p>
          <w:p w14:paraId="72895CFC" w14:textId="77777777" w:rsidR="007F7C37" w:rsidRPr="00187F49" w:rsidRDefault="007F7C37" w:rsidP="007F7C37">
            <w:pPr>
              <w:pStyle w:val="a9"/>
              <w:numPr>
                <w:ilvl w:val="0"/>
                <w:numId w:val="3"/>
              </w:numPr>
              <w:spacing w:after="160" w:line="259" w:lineRule="auto"/>
              <w:ind w:left="714" w:hanging="357"/>
              <w:jc w:val="left"/>
              <w:rPr>
                <w:sz w:val="16"/>
                <w:szCs w:val="16"/>
              </w:rPr>
            </w:pPr>
            <w:r w:rsidRPr="00187F49">
              <w:rPr>
                <w:sz w:val="16"/>
                <w:szCs w:val="16"/>
              </w:rPr>
              <w:t>Some measurements were based on multiple tools or multiple tasks but relatively low at tool (2%); task (3%) and material (12%).</w:t>
            </w:r>
          </w:p>
          <w:p w14:paraId="1AC11F58" w14:textId="77777777" w:rsidR="007F7C37" w:rsidRPr="00187F49" w:rsidRDefault="007F7C37" w:rsidP="007F7C37">
            <w:pPr>
              <w:pStyle w:val="a9"/>
              <w:numPr>
                <w:ilvl w:val="0"/>
                <w:numId w:val="3"/>
              </w:numPr>
              <w:spacing w:after="160" w:line="259" w:lineRule="auto"/>
              <w:ind w:left="714" w:hanging="357"/>
              <w:jc w:val="left"/>
              <w:rPr>
                <w:sz w:val="16"/>
                <w:szCs w:val="16"/>
              </w:rPr>
            </w:pPr>
            <w:r w:rsidRPr="00187F49">
              <w:rPr>
                <w:sz w:val="16"/>
                <w:szCs w:val="16"/>
              </w:rPr>
              <w:t>Personal samples (86%); area samples (12%) and undefined (2%).</w:t>
            </w:r>
          </w:p>
          <w:p w14:paraId="7DDC26BE" w14:textId="77777777" w:rsidR="007F7C37" w:rsidRPr="00187F49" w:rsidRDefault="007F7C37" w:rsidP="007F7C37">
            <w:pPr>
              <w:pStyle w:val="a9"/>
              <w:numPr>
                <w:ilvl w:val="0"/>
                <w:numId w:val="3"/>
              </w:numPr>
              <w:spacing w:after="160" w:line="259" w:lineRule="auto"/>
              <w:ind w:left="714" w:hanging="357"/>
              <w:jc w:val="left"/>
              <w:rPr>
                <w:sz w:val="16"/>
                <w:szCs w:val="16"/>
              </w:rPr>
            </w:pPr>
            <w:r w:rsidRPr="00187F49">
              <w:rPr>
                <w:sz w:val="16"/>
                <w:szCs w:val="16"/>
              </w:rPr>
              <w:lastRenderedPageBreak/>
              <w:t>Unreported information across major variables ranged from 2</w:t>
            </w:r>
            <w:r w:rsidRPr="003D7E45">
              <w:rPr>
                <w:sz w:val="16"/>
                <w:szCs w:val="16"/>
              </w:rPr>
              <w:t>-68%.</w:t>
            </w:r>
          </w:p>
          <w:p w14:paraId="01C73493" w14:textId="77777777" w:rsidR="007F7C37" w:rsidRPr="00187F49" w:rsidRDefault="007F7C37" w:rsidP="007F7C37">
            <w:pPr>
              <w:pStyle w:val="a9"/>
              <w:numPr>
                <w:ilvl w:val="0"/>
                <w:numId w:val="3"/>
              </w:numPr>
              <w:spacing w:after="160" w:line="259" w:lineRule="auto"/>
              <w:ind w:left="714" w:hanging="357"/>
              <w:jc w:val="left"/>
              <w:rPr>
                <w:sz w:val="16"/>
                <w:szCs w:val="16"/>
              </w:rPr>
            </w:pPr>
            <w:r w:rsidRPr="00187F49">
              <w:rPr>
                <w:sz w:val="16"/>
                <w:szCs w:val="16"/>
              </w:rPr>
              <w:t>Masonry cutting was a significant exposure category.</w:t>
            </w:r>
          </w:p>
          <w:p w14:paraId="52388E18" w14:textId="77777777" w:rsidR="007F7C37" w:rsidRPr="00187F49" w:rsidRDefault="007F7C37" w:rsidP="007F7C37">
            <w:pPr>
              <w:pStyle w:val="a9"/>
              <w:numPr>
                <w:ilvl w:val="0"/>
                <w:numId w:val="3"/>
              </w:numPr>
              <w:spacing w:after="160" w:line="259" w:lineRule="auto"/>
              <w:ind w:left="714" w:hanging="357"/>
              <w:jc w:val="left"/>
              <w:rPr>
                <w:sz w:val="16"/>
                <w:szCs w:val="16"/>
              </w:rPr>
            </w:pPr>
            <w:r w:rsidRPr="00187F49">
              <w:rPr>
                <w:sz w:val="16"/>
                <w:szCs w:val="16"/>
              </w:rPr>
              <w:t>Sampling durations may not have reflected total duration sampling.</w:t>
            </w:r>
          </w:p>
        </w:tc>
        <w:tc>
          <w:tcPr>
            <w:tcW w:w="1450" w:type="pct"/>
          </w:tcPr>
          <w:p w14:paraId="5EB00C61" w14:textId="77777777" w:rsidR="007F7C37" w:rsidRPr="00187F49" w:rsidRDefault="007F7C37" w:rsidP="007F7C37">
            <w:pPr>
              <w:pStyle w:val="a9"/>
              <w:numPr>
                <w:ilvl w:val="0"/>
                <w:numId w:val="3"/>
              </w:numPr>
              <w:spacing w:after="160" w:line="259" w:lineRule="auto"/>
              <w:jc w:val="left"/>
              <w:rPr>
                <w:b/>
                <w:bCs/>
                <w:sz w:val="16"/>
                <w:szCs w:val="16"/>
                <w:u w:val="single"/>
              </w:rPr>
            </w:pPr>
            <w:r w:rsidRPr="00187F49">
              <w:rPr>
                <w:b/>
                <w:bCs/>
                <w:sz w:val="16"/>
                <w:szCs w:val="16"/>
                <w:u w:val="single"/>
              </w:rPr>
              <w:lastRenderedPageBreak/>
              <w:t>Grouped measurements can average out variance with a loss in detail of peak exposure information.</w:t>
            </w:r>
          </w:p>
          <w:p w14:paraId="22D7D808" w14:textId="77777777" w:rsidR="007F7C37" w:rsidRPr="00187F49" w:rsidRDefault="007F7C37" w:rsidP="007F7C37">
            <w:pPr>
              <w:pStyle w:val="a9"/>
              <w:numPr>
                <w:ilvl w:val="0"/>
                <w:numId w:val="3"/>
              </w:numPr>
              <w:spacing w:after="160" w:line="259" w:lineRule="auto"/>
              <w:jc w:val="left"/>
              <w:rPr>
                <w:b/>
                <w:bCs/>
                <w:sz w:val="16"/>
                <w:szCs w:val="16"/>
                <w:u w:val="single"/>
              </w:rPr>
            </w:pPr>
            <w:r w:rsidRPr="00187F49">
              <w:rPr>
                <w:b/>
                <w:bCs/>
                <w:sz w:val="16"/>
                <w:szCs w:val="16"/>
                <w:u w:val="single"/>
              </w:rPr>
              <w:t>No data from Australia.</w:t>
            </w:r>
          </w:p>
          <w:p w14:paraId="4D8768DF" w14:textId="77777777" w:rsidR="007F7C37" w:rsidRPr="00187F49" w:rsidRDefault="007F7C37" w:rsidP="007F7C37">
            <w:pPr>
              <w:pStyle w:val="a9"/>
              <w:numPr>
                <w:ilvl w:val="0"/>
                <w:numId w:val="3"/>
              </w:numPr>
              <w:spacing w:after="160" w:line="259" w:lineRule="auto"/>
              <w:jc w:val="left"/>
              <w:rPr>
                <w:b/>
                <w:bCs/>
                <w:sz w:val="16"/>
                <w:szCs w:val="16"/>
                <w:u w:val="single"/>
              </w:rPr>
            </w:pPr>
            <w:r w:rsidRPr="00187F49">
              <w:rPr>
                <w:b/>
                <w:bCs/>
                <w:sz w:val="16"/>
                <w:szCs w:val="16"/>
                <w:u w:val="single"/>
              </w:rPr>
              <w:t>Some entries reflected multiple tasks or tools resulting in confounding.</w:t>
            </w:r>
          </w:p>
          <w:p w14:paraId="5ECF152B" w14:textId="77777777" w:rsidR="007F7C37" w:rsidRPr="003D7E45" w:rsidRDefault="007F7C37" w:rsidP="007F7C37">
            <w:pPr>
              <w:pStyle w:val="a9"/>
              <w:numPr>
                <w:ilvl w:val="0"/>
                <w:numId w:val="3"/>
              </w:numPr>
              <w:spacing w:after="160" w:line="259" w:lineRule="auto"/>
              <w:jc w:val="left"/>
              <w:rPr>
                <w:b/>
                <w:bCs/>
                <w:sz w:val="16"/>
                <w:szCs w:val="16"/>
                <w:u w:val="single"/>
              </w:rPr>
            </w:pPr>
            <w:r w:rsidRPr="003D7E45">
              <w:rPr>
                <w:b/>
                <w:bCs/>
                <w:sz w:val="16"/>
                <w:szCs w:val="16"/>
                <w:u w:val="single"/>
              </w:rPr>
              <w:t>Un</w:t>
            </w:r>
            <w:r>
              <w:rPr>
                <w:b/>
                <w:bCs/>
                <w:sz w:val="16"/>
                <w:szCs w:val="16"/>
                <w:u w:val="single"/>
              </w:rPr>
              <w:t>der</w:t>
            </w:r>
            <w:r w:rsidRPr="003D7E45">
              <w:rPr>
                <w:b/>
                <w:bCs/>
                <w:sz w:val="16"/>
                <w:szCs w:val="16"/>
                <w:u w:val="single"/>
              </w:rPr>
              <w:t>reporting across task, material and tool (9%;25% and 29%) results in residual error in exposure estimations.</w:t>
            </w:r>
          </w:p>
          <w:p w14:paraId="496BEA83" w14:textId="77777777" w:rsidR="007F7C37" w:rsidRPr="00187F49" w:rsidRDefault="007F7C37" w:rsidP="007F7C37">
            <w:pPr>
              <w:pStyle w:val="a9"/>
              <w:numPr>
                <w:ilvl w:val="0"/>
                <w:numId w:val="3"/>
              </w:numPr>
              <w:spacing w:after="160" w:line="259" w:lineRule="auto"/>
              <w:jc w:val="left"/>
              <w:rPr>
                <w:b/>
                <w:bCs/>
                <w:sz w:val="16"/>
                <w:szCs w:val="16"/>
                <w:u w:val="single"/>
              </w:rPr>
            </w:pPr>
            <w:r w:rsidRPr="00187F49">
              <w:rPr>
                <w:b/>
                <w:bCs/>
                <w:sz w:val="16"/>
                <w:szCs w:val="16"/>
                <w:u w:val="single"/>
              </w:rPr>
              <w:t>Masonry cutting reflected only one source paper.</w:t>
            </w:r>
          </w:p>
          <w:p w14:paraId="4C107FE7" w14:textId="77777777" w:rsidR="007F7C37" w:rsidRPr="00187F49" w:rsidRDefault="007F7C37" w:rsidP="007F7C37">
            <w:pPr>
              <w:pStyle w:val="a9"/>
              <w:numPr>
                <w:ilvl w:val="0"/>
                <w:numId w:val="3"/>
              </w:numPr>
              <w:spacing w:after="160" w:line="259" w:lineRule="auto"/>
              <w:jc w:val="left"/>
              <w:rPr>
                <w:b/>
                <w:bCs/>
                <w:sz w:val="16"/>
                <w:szCs w:val="16"/>
                <w:u w:val="single"/>
              </w:rPr>
            </w:pPr>
            <w:r w:rsidRPr="00187F49">
              <w:rPr>
                <w:b/>
                <w:bCs/>
                <w:sz w:val="16"/>
                <w:szCs w:val="16"/>
                <w:u w:val="single"/>
              </w:rPr>
              <w:lastRenderedPageBreak/>
              <w:t>Short sampling durations were used as estimates of full-shift exposure across some data sources.</w:t>
            </w:r>
          </w:p>
        </w:tc>
        <w:tc>
          <w:tcPr>
            <w:tcW w:w="600" w:type="pct"/>
          </w:tcPr>
          <w:p w14:paraId="3007925E" w14:textId="77777777" w:rsidR="007F7C37" w:rsidRPr="00187F49" w:rsidRDefault="007F7C37" w:rsidP="00AB368C">
            <w:pPr>
              <w:rPr>
                <w:sz w:val="16"/>
                <w:szCs w:val="16"/>
              </w:rPr>
            </w:pPr>
            <w:r w:rsidRPr="00187F49">
              <w:rPr>
                <w:sz w:val="16"/>
                <w:szCs w:val="16"/>
              </w:rPr>
              <w:lastRenderedPageBreak/>
              <w:t>Evaluation and understanding of data set and data sources.</w:t>
            </w:r>
          </w:p>
        </w:tc>
      </w:tr>
      <w:tr w:rsidR="007F7C37" w:rsidRPr="00E02BFA" w14:paraId="2DBC7FD3" w14:textId="77777777" w:rsidTr="009A05CA">
        <w:tc>
          <w:tcPr>
            <w:tcW w:w="681" w:type="pct"/>
            <w:gridSpan w:val="2"/>
            <w:tcBorders>
              <w:bottom w:val="single" w:sz="4" w:space="0" w:color="auto"/>
            </w:tcBorders>
            <w:shd w:val="clear" w:color="auto" w:fill="A5C9EB" w:themeFill="text2" w:themeFillTint="40"/>
          </w:tcPr>
          <w:p w14:paraId="6BBDBAAD" w14:textId="77777777" w:rsidR="007F7C37" w:rsidRPr="00187F49" w:rsidRDefault="007F7C37" w:rsidP="00AB368C">
            <w:pPr>
              <w:rPr>
                <w:sz w:val="16"/>
                <w:szCs w:val="16"/>
              </w:rPr>
            </w:pPr>
            <w:r w:rsidRPr="00187F49">
              <w:rPr>
                <w:b/>
                <w:bCs/>
                <w:sz w:val="16"/>
                <w:szCs w:val="16"/>
              </w:rPr>
              <w:t>Publication</w:t>
            </w:r>
          </w:p>
        </w:tc>
        <w:tc>
          <w:tcPr>
            <w:tcW w:w="2269" w:type="pct"/>
            <w:tcBorders>
              <w:bottom w:val="single" w:sz="4" w:space="0" w:color="auto"/>
            </w:tcBorders>
            <w:shd w:val="clear" w:color="auto" w:fill="A5C9EB" w:themeFill="text2" w:themeFillTint="40"/>
          </w:tcPr>
          <w:p w14:paraId="68AF7BC0" w14:textId="77777777" w:rsidR="007F7C37" w:rsidRPr="00187F49" w:rsidRDefault="007F7C37" w:rsidP="00AB368C">
            <w:pPr>
              <w:rPr>
                <w:sz w:val="16"/>
                <w:szCs w:val="16"/>
              </w:rPr>
            </w:pPr>
            <w:r w:rsidRPr="00187F49">
              <w:rPr>
                <w:b/>
                <w:bCs/>
                <w:sz w:val="16"/>
                <w:szCs w:val="16"/>
              </w:rPr>
              <w:t>Key points</w:t>
            </w:r>
          </w:p>
        </w:tc>
        <w:tc>
          <w:tcPr>
            <w:tcW w:w="1450" w:type="pct"/>
            <w:tcBorders>
              <w:bottom w:val="single" w:sz="4" w:space="0" w:color="auto"/>
            </w:tcBorders>
            <w:shd w:val="clear" w:color="auto" w:fill="A5C9EB" w:themeFill="text2" w:themeFillTint="40"/>
          </w:tcPr>
          <w:p w14:paraId="2F2B6D29" w14:textId="77777777" w:rsidR="007F7C37" w:rsidRPr="00187F49" w:rsidRDefault="007F7C37" w:rsidP="00AB368C">
            <w:pPr>
              <w:rPr>
                <w:b/>
                <w:bCs/>
                <w:sz w:val="16"/>
                <w:szCs w:val="16"/>
                <w:u w:val="single"/>
              </w:rPr>
            </w:pPr>
            <w:r w:rsidRPr="00187F49">
              <w:rPr>
                <w:b/>
                <w:bCs/>
                <w:sz w:val="16"/>
                <w:szCs w:val="16"/>
              </w:rPr>
              <w:t>Comments and gap analysis</w:t>
            </w:r>
          </w:p>
        </w:tc>
        <w:tc>
          <w:tcPr>
            <w:tcW w:w="600" w:type="pct"/>
            <w:tcBorders>
              <w:bottom w:val="single" w:sz="4" w:space="0" w:color="auto"/>
            </w:tcBorders>
            <w:shd w:val="clear" w:color="auto" w:fill="A5C9EB" w:themeFill="text2" w:themeFillTint="40"/>
          </w:tcPr>
          <w:p w14:paraId="300793C3" w14:textId="77777777" w:rsidR="007F7C37" w:rsidRPr="00187F49" w:rsidRDefault="007F7C37" w:rsidP="00AB368C">
            <w:pPr>
              <w:rPr>
                <w:b/>
                <w:bCs/>
                <w:sz w:val="16"/>
                <w:szCs w:val="16"/>
              </w:rPr>
            </w:pPr>
            <w:r w:rsidRPr="00187F49">
              <w:rPr>
                <w:b/>
                <w:bCs/>
                <w:sz w:val="16"/>
                <w:szCs w:val="16"/>
              </w:rPr>
              <w:t>Objectives</w:t>
            </w:r>
          </w:p>
        </w:tc>
      </w:tr>
      <w:tr w:rsidR="007F7C37" w:rsidRPr="00E02BFA" w14:paraId="307BAE5C" w14:textId="77777777" w:rsidTr="009A05CA">
        <w:tc>
          <w:tcPr>
            <w:tcW w:w="450" w:type="pct"/>
            <w:tcBorders>
              <w:top w:val="single" w:sz="4" w:space="0" w:color="auto"/>
            </w:tcBorders>
          </w:tcPr>
          <w:p w14:paraId="33808F47" w14:textId="26F741D1" w:rsidR="007F7C37" w:rsidRPr="00187F49" w:rsidRDefault="007F7C37" w:rsidP="00AB368C">
            <w:pPr>
              <w:rPr>
                <w:sz w:val="16"/>
                <w:szCs w:val="16"/>
              </w:rPr>
            </w:pPr>
            <w:r w:rsidRPr="00187F49">
              <w:rPr>
                <w:sz w:val="16"/>
                <w:szCs w:val="16"/>
              </w:rPr>
              <w:t>Sauve et al., 2013</w:t>
            </w:r>
            <w:r w:rsidR="0027195C">
              <w:rPr>
                <w:sz w:val="16"/>
                <w:szCs w:val="16"/>
              </w:rPr>
              <w:t xml:space="preserve"> [13]</w:t>
            </w:r>
          </w:p>
        </w:tc>
        <w:tc>
          <w:tcPr>
            <w:tcW w:w="2500" w:type="pct"/>
            <w:gridSpan w:val="2"/>
            <w:tcBorders>
              <w:top w:val="single" w:sz="4" w:space="0" w:color="auto"/>
            </w:tcBorders>
          </w:tcPr>
          <w:p w14:paraId="66057786"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This paper extends the preliminary work published the previous year and refines the approach by considering task- specific exposures (27 construction tasks).</w:t>
            </w:r>
          </w:p>
          <w:p w14:paraId="7AC73C9F"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Methods were like the 2012 paper.</w:t>
            </w:r>
          </w:p>
          <w:p w14:paraId="486DA403"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Used personal exposure data, log transformed RCS exposure data, multi-model inference used model weights and goodness of fit across 80 models generated</w:t>
            </w:r>
          </w:p>
          <w:p w14:paraId="3139D17F"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Evidence ratios of 100 or more represents strong variable association with the outcome and below 0.01 represents little influence.</w:t>
            </w:r>
          </w:p>
          <w:p w14:paraId="1226B6C7"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Data analysis using R 2.14 software, 1466 measurements derived from 480 records across 27 task categories with 432 or 29.5% being ‘Other/unreported’.</w:t>
            </w:r>
          </w:p>
          <w:p w14:paraId="723EA843"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Largest median GM was chipping – multiple tools followed by abrasive blasting.</w:t>
            </w:r>
          </w:p>
          <w:p w14:paraId="68CA067A"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Variance in sampling durations altered values – longer monitoring durations resulted in lower values.</w:t>
            </w:r>
          </w:p>
          <w:p w14:paraId="29676524"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 xml:space="preserve">Mean percentage of variance explained by the full model (all variables and interactions with 9 determinants) was </w:t>
            </w:r>
            <w:r w:rsidRPr="003D7E45">
              <w:rPr>
                <w:sz w:val="16"/>
                <w:szCs w:val="16"/>
              </w:rPr>
              <w:t>60%</w:t>
            </w:r>
            <w:r w:rsidRPr="00187F49">
              <w:rPr>
                <w:sz w:val="16"/>
                <w:szCs w:val="16"/>
              </w:rPr>
              <w:t xml:space="preserve"> (range 58-62%).  A significant improvement over the previous approach.</w:t>
            </w:r>
          </w:p>
        </w:tc>
        <w:tc>
          <w:tcPr>
            <w:tcW w:w="1450" w:type="pct"/>
            <w:tcBorders>
              <w:top w:val="single" w:sz="4" w:space="0" w:color="auto"/>
            </w:tcBorders>
          </w:tcPr>
          <w:p w14:paraId="7E9FE25A" w14:textId="77777777" w:rsidR="007F7C37" w:rsidRPr="00187F49" w:rsidRDefault="007F7C37" w:rsidP="007F7C37">
            <w:pPr>
              <w:pStyle w:val="a9"/>
              <w:numPr>
                <w:ilvl w:val="0"/>
                <w:numId w:val="4"/>
              </w:numPr>
              <w:spacing w:after="160" w:line="259" w:lineRule="auto"/>
              <w:jc w:val="left"/>
              <w:rPr>
                <w:sz w:val="16"/>
                <w:szCs w:val="16"/>
              </w:rPr>
            </w:pPr>
            <w:r w:rsidRPr="00187F49">
              <w:rPr>
                <w:b/>
                <w:bCs/>
                <w:sz w:val="16"/>
                <w:szCs w:val="16"/>
                <w:u w:val="single"/>
              </w:rPr>
              <w:t>Only 35 measurements were associated with the residential sector and yet the RIE was 127 implying high association</w:t>
            </w:r>
            <w:r w:rsidRPr="00187F49">
              <w:rPr>
                <w:sz w:val="16"/>
                <w:szCs w:val="16"/>
              </w:rPr>
              <w:t>.  This may be important for Australia due to the lack of controls across that construction sector.</w:t>
            </w:r>
          </w:p>
          <w:p w14:paraId="56BB9373" w14:textId="77777777" w:rsidR="007F7C37" w:rsidRPr="00187F49" w:rsidRDefault="007F7C37" w:rsidP="007F7C37">
            <w:pPr>
              <w:pStyle w:val="a9"/>
              <w:numPr>
                <w:ilvl w:val="0"/>
                <w:numId w:val="4"/>
              </w:numPr>
              <w:spacing w:after="160" w:line="259" w:lineRule="auto"/>
              <w:jc w:val="left"/>
              <w:rPr>
                <w:sz w:val="16"/>
                <w:szCs w:val="16"/>
              </w:rPr>
            </w:pPr>
            <w:r w:rsidRPr="00187F49">
              <w:rPr>
                <w:sz w:val="16"/>
                <w:szCs w:val="16"/>
              </w:rPr>
              <w:t>Other limitations included variable quality of information on determinants associated with exposure data; percentage of unreported descriptions across construction sector, project type, workspace, use of ventilation and control methods; unbalanced data distribution across different categories.</w:t>
            </w:r>
          </w:p>
        </w:tc>
        <w:tc>
          <w:tcPr>
            <w:tcW w:w="600" w:type="pct"/>
            <w:tcBorders>
              <w:top w:val="single" w:sz="4" w:space="0" w:color="auto"/>
            </w:tcBorders>
          </w:tcPr>
          <w:p w14:paraId="75148D3F" w14:textId="77777777" w:rsidR="007F7C37" w:rsidRPr="00187F49" w:rsidRDefault="007F7C37" w:rsidP="00AB368C">
            <w:pPr>
              <w:rPr>
                <w:sz w:val="16"/>
                <w:szCs w:val="16"/>
              </w:rPr>
            </w:pPr>
            <w:r w:rsidRPr="00187F49">
              <w:rPr>
                <w:sz w:val="16"/>
                <w:szCs w:val="16"/>
              </w:rPr>
              <w:t>Model extension work evaluation.</w:t>
            </w:r>
          </w:p>
        </w:tc>
      </w:tr>
      <w:tr w:rsidR="007F7C37" w:rsidRPr="00E02BFA" w14:paraId="45967025" w14:textId="77777777" w:rsidTr="009A05CA">
        <w:trPr>
          <w:trHeight w:val="1124"/>
        </w:trPr>
        <w:tc>
          <w:tcPr>
            <w:tcW w:w="450" w:type="pct"/>
          </w:tcPr>
          <w:p w14:paraId="6E8FBAE8" w14:textId="3DEB3123" w:rsidR="007F7C37" w:rsidRPr="00187F49" w:rsidRDefault="007F7C37" w:rsidP="00AB368C">
            <w:pPr>
              <w:rPr>
                <w:sz w:val="16"/>
                <w:szCs w:val="16"/>
              </w:rPr>
            </w:pPr>
            <w:bookmarkStart w:id="2" w:name="_Hlk177206032"/>
            <w:r w:rsidRPr="00187F49">
              <w:rPr>
                <w:sz w:val="16"/>
                <w:szCs w:val="16"/>
              </w:rPr>
              <w:t>Sauve et al., 2013</w:t>
            </w:r>
            <w:r w:rsidR="0027195C">
              <w:rPr>
                <w:sz w:val="16"/>
                <w:szCs w:val="16"/>
              </w:rPr>
              <w:t xml:space="preserve"> [13]</w:t>
            </w:r>
          </w:p>
        </w:tc>
        <w:tc>
          <w:tcPr>
            <w:tcW w:w="2500" w:type="pct"/>
            <w:gridSpan w:val="2"/>
          </w:tcPr>
          <w:p w14:paraId="1B024F71"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This report provides more detail across the silica exposure evaluation compared to the equivalent papers and extends the first project report of 2011.</w:t>
            </w:r>
          </w:p>
          <w:p w14:paraId="42AE70F3"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The paper highlights the variance associated with exposures across an occupation due to multiple tasks during the working day.</w:t>
            </w:r>
          </w:p>
          <w:p w14:paraId="392FFE62"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This second project sought to refine the crystalline silica exposure profiles from the initial report and to estimate the influence of different determinants of exposure in the construction industry.</w:t>
            </w:r>
          </w:p>
          <w:p w14:paraId="013EC2DB"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Objectives included:</w:t>
            </w:r>
          </w:p>
          <w:p w14:paraId="5FC60973" w14:textId="77777777" w:rsidR="007F7C37" w:rsidRPr="00187F49" w:rsidRDefault="007F7C37" w:rsidP="007F7C37">
            <w:pPr>
              <w:pStyle w:val="a9"/>
              <w:numPr>
                <w:ilvl w:val="1"/>
                <w:numId w:val="5"/>
              </w:numPr>
              <w:spacing w:after="160" w:line="259" w:lineRule="auto"/>
              <w:jc w:val="left"/>
              <w:rPr>
                <w:sz w:val="16"/>
                <w:szCs w:val="16"/>
              </w:rPr>
            </w:pPr>
            <w:r w:rsidRPr="00187F49">
              <w:rPr>
                <w:sz w:val="16"/>
                <w:szCs w:val="16"/>
              </w:rPr>
              <w:t>Estimate RCS concentrations by occupation to compare against occupational exposure limits.</w:t>
            </w:r>
          </w:p>
          <w:p w14:paraId="4B655BF7" w14:textId="77777777" w:rsidR="007F7C37" w:rsidRPr="00187F49" w:rsidRDefault="007F7C37" w:rsidP="007F7C37">
            <w:pPr>
              <w:pStyle w:val="a9"/>
              <w:numPr>
                <w:ilvl w:val="1"/>
                <w:numId w:val="5"/>
              </w:numPr>
              <w:spacing w:after="160" w:line="259" w:lineRule="auto"/>
              <w:jc w:val="left"/>
              <w:rPr>
                <w:sz w:val="16"/>
                <w:szCs w:val="16"/>
              </w:rPr>
            </w:pPr>
            <w:r w:rsidRPr="00187F49">
              <w:rPr>
                <w:sz w:val="16"/>
                <w:szCs w:val="16"/>
              </w:rPr>
              <w:t>Evaluate RCS concentrations by task to assess contributions over working day.</w:t>
            </w:r>
          </w:p>
          <w:p w14:paraId="0A85FA36" w14:textId="77777777" w:rsidR="007F7C37" w:rsidRPr="00187F49" w:rsidRDefault="007F7C37" w:rsidP="007F7C37">
            <w:pPr>
              <w:pStyle w:val="a9"/>
              <w:numPr>
                <w:ilvl w:val="1"/>
                <w:numId w:val="5"/>
              </w:numPr>
              <w:spacing w:after="160" w:line="259" w:lineRule="auto"/>
              <w:jc w:val="left"/>
              <w:rPr>
                <w:sz w:val="16"/>
                <w:szCs w:val="16"/>
              </w:rPr>
            </w:pPr>
            <w:r w:rsidRPr="00187F49">
              <w:rPr>
                <w:sz w:val="16"/>
                <w:szCs w:val="16"/>
              </w:rPr>
              <w:t>To quantify the effect of exposure determinants including abatement methods.</w:t>
            </w:r>
          </w:p>
          <w:p w14:paraId="50DC972C" w14:textId="77777777" w:rsidR="007F7C37" w:rsidRPr="00187F49" w:rsidRDefault="007F7C37" w:rsidP="007F7C37">
            <w:pPr>
              <w:pStyle w:val="a9"/>
              <w:numPr>
                <w:ilvl w:val="1"/>
                <w:numId w:val="5"/>
              </w:numPr>
              <w:spacing w:after="160" w:line="259" w:lineRule="auto"/>
              <w:jc w:val="left"/>
              <w:rPr>
                <w:sz w:val="16"/>
                <w:szCs w:val="16"/>
              </w:rPr>
            </w:pPr>
            <w:r w:rsidRPr="00187F49">
              <w:rPr>
                <w:sz w:val="16"/>
                <w:szCs w:val="16"/>
              </w:rPr>
              <w:t xml:space="preserve">To investigate the variations in RCS percentages based on key exposure determinants such as occupations, task </w:t>
            </w:r>
          </w:p>
          <w:p w14:paraId="39A05D9C"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Respirable dust exposures were also examined including the objective:</w:t>
            </w:r>
          </w:p>
          <w:p w14:paraId="5833EF5B" w14:textId="77777777" w:rsidR="007F7C37" w:rsidRPr="00187F49" w:rsidRDefault="007F7C37" w:rsidP="007F7C37">
            <w:pPr>
              <w:pStyle w:val="a9"/>
              <w:numPr>
                <w:ilvl w:val="1"/>
                <w:numId w:val="5"/>
              </w:numPr>
              <w:spacing w:after="160" w:line="259" w:lineRule="auto"/>
              <w:jc w:val="left"/>
              <w:rPr>
                <w:sz w:val="16"/>
                <w:szCs w:val="16"/>
              </w:rPr>
            </w:pPr>
            <w:r w:rsidRPr="00187F49">
              <w:rPr>
                <w:sz w:val="16"/>
                <w:szCs w:val="16"/>
              </w:rPr>
              <w:t>To quantify effects of exposure determinants on respirable dust concentrations.</w:t>
            </w:r>
          </w:p>
          <w:p w14:paraId="5B724D0D"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The data were segregated into four subsets by occupation and task and then by RCS or Respirable dust.</w:t>
            </w:r>
          </w:p>
          <w:p w14:paraId="4B02C124" w14:textId="77777777" w:rsidR="007F7C37" w:rsidRPr="004D72EE" w:rsidRDefault="007F7C37" w:rsidP="007F7C37">
            <w:pPr>
              <w:pStyle w:val="a9"/>
              <w:numPr>
                <w:ilvl w:val="0"/>
                <w:numId w:val="5"/>
              </w:numPr>
              <w:spacing w:after="160" w:line="259" w:lineRule="auto"/>
              <w:jc w:val="left"/>
              <w:rPr>
                <w:sz w:val="16"/>
                <w:szCs w:val="16"/>
              </w:rPr>
            </w:pPr>
            <w:r w:rsidRPr="00187F49">
              <w:rPr>
                <w:sz w:val="16"/>
                <w:szCs w:val="16"/>
              </w:rPr>
              <w:lastRenderedPageBreak/>
              <w:t xml:space="preserve">A series of screening criteria were </w:t>
            </w:r>
            <w:r w:rsidRPr="004D72EE">
              <w:rPr>
                <w:sz w:val="16"/>
                <w:szCs w:val="16"/>
              </w:rPr>
              <w:t>employed across the 4 data subsets with weighted averaging of partial-period exposure data.</w:t>
            </w:r>
          </w:p>
          <w:p w14:paraId="43B85E9D"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Additional data were estimated by simulation knowing the log-normal distribution of existing measurements.</w:t>
            </w:r>
          </w:p>
          <w:p w14:paraId="13129364"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Where results were below the Limit of Detection robust regression on order statistics (Robust ROS) were used in calculating geometric means and geometric standard deviations.</w:t>
            </w:r>
          </w:p>
          <w:p w14:paraId="4AAD1B73"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Multivariate statistical modelling was performed on each sub-database to assess the influence of different determinants with Tobit regression models used to take account of non-detect values.</w:t>
            </w:r>
          </w:p>
          <w:p w14:paraId="6E02E67D"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Selection of variables was based on availability of information and level of detail, e.g. source control across occupation.</w:t>
            </w:r>
          </w:p>
          <w:p w14:paraId="00512FD7"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Including 3 interaction terms and six variables resulted in a total of 80 models.</w:t>
            </w:r>
          </w:p>
          <w:p w14:paraId="45A50A45"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RCS content of respirable dust was estimated.</w:t>
            </w:r>
          </w:p>
        </w:tc>
        <w:tc>
          <w:tcPr>
            <w:tcW w:w="1450" w:type="pct"/>
          </w:tcPr>
          <w:p w14:paraId="6787D7A0" w14:textId="77777777" w:rsidR="007F7C37" w:rsidRPr="00187F49" w:rsidRDefault="007F7C37" w:rsidP="00AB368C">
            <w:pPr>
              <w:rPr>
                <w:sz w:val="16"/>
                <w:szCs w:val="16"/>
              </w:rPr>
            </w:pPr>
            <w:r w:rsidRPr="00187F49">
              <w:rPr>
                <w:sz w:val="16"/>
                <w:szCs w:val="16"/>
              </w:rPr>
              <w:lastRenderedPageBreak/>
              <w:t>Assumptions and issues included:</w:t>
            </w:r>
          </w:p>
          <w:p w14:paraId="61680631"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General control methods considered but not as direct evaluation method (observations reported from measurements).)</w:t>
            </w:r>
          </w:p>
          <w:p w14:paraId="6EC2634F"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Assumptions made across occupational settings, e.g. Driller: environment= outdoors</w:t>
            </w:r>
          </w:p>
          <w:p w14:paraId="3268C1EA"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Manipulation of tasks where numbers were low (e.g. amalgamation).</w:t>
            </w:r>
          </w:p>
          <w:p w14:paraId="77E3FD5B"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sampling and analytical differences across results used.</w:t>
            </w:r>
          </w:p>
          <w:p w14:paraId="007B739D"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RCS analyses only included if corresponding respirable dust measurements and only where single measurements reported.</w:t>
            </w:r>
          </w:p>
          <w:p w14:paraId="1B0F02B6"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Restrictions on data were subsequently across 4 levels.</w:t>
            </w:r>
          </w:p>
          <w:p w14:paraId="29E7CE32"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Sampling (times) differed across regulatory compliance or surveillance monitoring.</w:t>
            </w:r>
          </w:p>
          <w:p w14:paraId="3CDE1D7B"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No kitchen installer category.</w:t>
            </w:r>
          </w:p>
          <w:p w14:paraId="301DDA8E"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lastRenderedPageBreak/>
              <w:t>The more confined the environment the higher the exposure.</w:t>
            </w:r>
          </w:p>
          <w:p w14:paraId="045633BC" w14:textId="77777777" w:rsidR="007F7C37" w:rsidRPr="00187F49" w:rsidRDefault="007F7C37" w:rsidP="00AB368C">
            <w:pPr>
              <w:pStyle w:val="a9"/>
              <w:ind w:left="770"/>
              <w:rPr>
                <w:sz w:val="16"/>
                <w:szCs w:val="16"/>
              </w:rPr>
            </w:pPr>
            <w:r w:rsidRPr="00187F49">
              <w:rPr>
                <w:sz w:val="16"/>
                <w:szCs w:val="16"/>
              </w:rPr>
              <w:t>No specific task associated with stone cutting only grinding which reported elevated exposures. E.g. Sawing masonry category and Residential category.</w:t>
            </w:r>
          </w:p>
          <w:p w14:paraId="7A0B64F9"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94% weighting across full model (all determinants.</w:t>
            </w:r>
          </w:p>
          <w:p w14:paraId="222D8EB5"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Residential sector and indoor/without ventilation factors were highly correlated exposure determinants.</w:t>
            </w:r>
          </w:p>
          <w:p w14:paraId="48C87F1C"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‘Other’ category (n=35)</w:t>
            </w:r>
          </w:p>
          <w:p w14:paraId="4EC12857"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TLV exceedances reached 11/27 tasks or 40% of the tasks reviewed.</w:t>
            </w:r>
          </w:p>
          <w:p w14:paraId="63358345"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1265 paired results with 339 RCS below LOD.</w:t>
            </w:r>
          </w:p>
          <w:p w14:paraId="16F9DCF7"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By task category - ‘Sawing masonry’ (74); ‘Sawing – other’ (14); ‘Drilling masonry’ (48); Brick/stone joint grinding (108); and surface grinding (63).</w:t>
            </w:r>
          </w:p>
          <w:p w14:paraId="0A9E9C9E"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Manufactured stone was not a defined category – ‘stone’; ‘other’, ‘various materials (containing sand).</w:t>
            </w:r>
          </w:p>
          <w:p w14:paraId="01EB054F"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R</w:t>
            </w:r>
            <w:r w:rsidRPr="00187F49">
              <w:rPr>
                <w:sz w:val="16"/>
                <w:szCs w:val="16"/>
                <w:vertAlign w:val="superscript"/>
              </w:rPr>
              <w:t>2</w:t>
            </w:r>
            <w:r w:rsidRPr="00187F49">
              <w:rPr>
                <w:sz w:val="16"/>
                <w:szCs w:val="16"/>
              </w:rPr>
              <w:t xml:space="preserve"> low (22%) for ‘Occupation’ but ‘Tasks’ = 60%.</w:t>
            </w:r>
          </w:p>
          <w:p w14:paraId="30376C1C"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50% increase in sampling duration = 10-19% reduction in RCS exposures.</w:t>
            </w:r>
          </w:p>
          <w:p w14:paraId="593B41CB"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Indoors 18X higher exposure than outdoors (with or without ventilation).</w:t>
            </w:r>
          </w:p>
          <w:p w14:paraId="5157EE7F"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Query re nanoparticles generation and impact of ultrafine particles by source dust/composition.</w:t>
            </w:r>
          </w:p>
          <w:p w14:paraId="3565719A" w14:textId="77777777" w:rsidR="007F7C37" w:rsidRPr="00187F49" w:rsidRDefault="007F7C37" w:rsidP="007F7C37">
            <w:pPr>
              <w:pStyle w:val="a9"/>
              <w:numPr>
                <w:ilvl w:val="0"/>
                <w:numId w:val="6"/>
              </w:numPr>
              <w:spacing w:after="160" w:line="259" w:lineRule="auto"/>
              <w:jc w:val="left"/>
              <w:rPr>
                <w:b/>
                <w:bCs/>
                <w:sz w:val="16"/>
                <w:szCs w:val="16"/>
                <w:u w:val="single"/>
              </w:rPr>
            </w:pPr>
            <w:r w:rsidRPr="00187F49">
              <w:rPr>
                <w:b/>
                <w:bCs/>
                <w:sz w:val="16"/>
                <w:szCs w:val="16"/>
                <w:u w:val="single"/>
              </w:rPr>
              <w:t>Data limitations – bulk material silica content, presence of secondary source; outdoors vs indoors only not enclosure defined; control limited to with or without.</w:t>
            </w:r>
          </w:p>
          <w:p w14:paraId="0FC3F744"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Only 2% of measurements from residential sector but accounts for 1/3 of Quebec construction employees.</w:t>
            </w:r>
          </w:p>
          <w:p w14:paraId="6BF1A8C4"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lastRenderedPageBreak/>
              <w:t>Unequal data distribution across model variables and data source differences between literature and government.</w:t>
            </w:r>
          </w:p>
        </w:tc>
        <w:tc>
          <w:tcPr>
            <w:tcW w:w="600" w:type="pct"/>
          </w:tcPr>
          <w:p w14:paraId="30E468D5" w14:textId="77777777" w:rsidR="007F7C37" w:rsidRPr="00187F49" w:rsidRDefault="007F7C37" w:rsidP="00AB368C">
            <w:pPr>
              <w:rPr>
                <w:sz w:val="16"/>
                <w:szCs w:val="16"/>
              </w:rPr>
            </w:pPr>
            <w:r w:rsidRPr="00187F49">
              <w:rPr>
                <w:sz w:val="16"/>
                <w:szCs w:val="16"/>
              </w:rPr>
              <w:lastRenderedPageBreak/>
              <w:t>Model extension work evaluation.</w:t>
            </w:r>
          </w:p>
        </w:tc>
      </w:tr>
      <w:bookmarkEnd w:id="2"/>
      <w:tr w:rsidR="007F7C37" w:rsidRPr="00E02BFA" w14:paraId="52846A26" w14:textId="77777777" w:rsidTr="009A05CA">
        <w:tc>
          <w:tcPr>
            <w:tcW w:w="450" w:type="pct"/>
            <w:shd w:val="clear" w:color="auto" w:fill="A5C9EB" w:themeFill="text2" w:themeFillTint="40"/>
          </w:tcPr>
          <w:p w14:paraId="37592132" w14:textId="77777777" w:rsidR="007F7C37" w:rsidRPr="00187F49" w:rsidRDefault="007F7C37" w:rsidP="00AB368C">
            <w:pPr>
              <w:jc w:val="center"/>
              <w:rPr>
                <w:sz w:val="16"/>
                <w:szCs w:val="16"/>
              </w:rPr>
            </w:pPr>
            <w:r w:rsidRPr="00187F49">
              <w:rPr>
                <w:b/>
                <w:bCs/>
                <w:sz w:val="16"/>
                <w:szCs w:val="16"/>
              </w:rPr>
              <w:lastRenderedPageBreak/>
              <w:t>Publication</w:t>
            </w:r>
          </w:p>
        </w:tc>
        <w:tc>
          <w:tcPr>
            <w:tcW w:w="2500" w:type="pct"/>
            <w:gridSpan w:val="2"/>
            <w:shd w:val="clear" w:color="auto" w:fill="A5C9EB" w:themeFill="text2" w:themeFillTint="40"/>
          </w:tcPr>
          <w:p w14:paraId="715B4843" w14:textId="77777777" w:rsidR="007F7C37" w:rsidRPr="00187F49" w:rsidRDefault="007F7C37" w:rsidP="00AB368C">
            <w:pPr>
              <w:jc w:val="center"/>
              <w:rPr>
                <w:sz w:val="16"/>
                <w:szCs w:val="16"/>
              </w:rPr>
            </w:pPr>
            <w:r w:rsidRPr="00187F49">
              <w:rPr>
                <w:b/>
                <w:bCs/>
                <w:sz w:val="16"/>
                <w:szCs w:val="16"/>
              </w:rPr>
              <w:t>Key points</w:t>
            </w:r>
          </w:p>
        </w:tc>
        <w:tc>
          <w:tcPr>
            <w:tcW w:w="1450" w:type="pct"/>
            <w:shd w:val="clear" w:color="auto" w:fill="A5C9EB" w:themeFill="text2" w:themeFillTint="40"/>
          </w:tcPr>
          <w:p w14:paraId="55F02F05" w14:textId="77777777" w:rsidR="007F7C37" w:rsidRPr="00187F49" w:rsidRDefault="007F7C37" w:rsidP="00AB368C">
            <w:pPr>
              <w:jc w:val="center"/>
              <w:rPr>
                <w:sz w:val="16"/>
                <w:szCs w:val="16"/>
              </w:rPr>
            </w:pPr>
            <w:r w:rsidRPr="00187F49">
              <w:rPr>
                <w:b/>
                <w:bCs/>
                <w:sz w:val="16"/>
                <w:szCs w:val="16"/>
              </w:rPr>
              <w:t>Comments and gap analysis</w:t>
            </w:r>
          </w:p>
        </w:tc>
        <w:tc>
          <w:tcPr>
            <w:tcW w:w="600" w:type="pct"/>
            <w:shd w:val="clear" w:color="auto" w:fill="A5C9EB" w:themeFill="text2" w:themeFillTint="40"/>
          </w:tcPr>
          <w:p w14:paraId="7A48B63E" w14:textId="77777777" w:rsidR="007F7C37" w:rsidRPr="00187F49" w:rsidRDefault="007F7C37" w:rsidP="00AB368C">
            <w:pPr>
              <w:jc w:val="center"/>
              <w:rPr>
                <w:b/>
                <w:bCs/>
                <w:sz w:val="16"/>
                <w:szCs w:val="16"/>
              </w:rPr>
            </w:pPr>
            <w:r w:rsidRPr="00187F49">
              <w:rPr>
                <w:b/>
                <w:bCs/>
                <w:sz w:val="16"/>
                <w:szCs w:val="16"/>
              </w:rPr>
              <w:t>Objective</w:t>
            </w:r>
          </w:p>
        </w:tc>
      </w:tr>
      <w:tr w:rsidR="007F7C37" w:rsidRPr="00E02BFA" w14:paraId="4FB66C09" w14:textId="77777777" w:rsidTr="009A05CA">
        <w:tc>
          <w:tcPr>
            <w:tcW w:w="450" w:type="pct"/>
          </w:tcPr>
          <w:p w14:paraId="3CE916EF" w14:textId="404CC56E" w:rsidR="007F7C37" w:rsidRPr="00187F49" w:rsidRDefault="007F7C37" w:rsidP="00AB368C">
            <w:pPr>
              <w:rPr>
                <w:sz w:val="16"/>
                <w:szCs w:val="16"/>
              </w:rPr>
            </w:pPr>
            <w:r w:rsidRPr="00187F49">
              <w:rPr>
                <w:sz w:val="16"/>
                <w:szCs w:val="16"/>
              </w:rPr>
              <w:t>Gorman-Ng and Davies 2018</w:t>
            </w:r>
            <w:r w:rsidR="0027195C">
              <w:rPr>
                <w:sz w:val="16"/>
                <w:szCs w:val="16"/>
              </w:rPr>
              <w:t xml:space="preserve"> [14]</w:t>
            </w:r>
          </w:p>
        </w:tc>
        <w:tc>
          <w:tcPr>
            <w:tcW w:w="2500" w:type="pct"/>
            <w:gridSpan w:val="2"/>
          </w:tcPr>
          <w:p w14:paraId="5521B493"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This represented an evaluation of the RCS risk assessment model (the BC silica model) for Alberta, Canada.</w:t>
            </w:r>
          </w:p>
          <w:p w14:paraId="09195EDF"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Based on the fact that only 4% of the original data was from Alberta the approach sought to validate against external data.</w:t>
            </w:r>
          </w:p>
          <w:p w14:paraId="2D5940F8"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Reviewed common silica processes; levels of RCS exposure; validation of predictions.</w:t>
            </w:r>
          </w:p>
          <w:p w14:paraId="541E2729"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Three phases – Alberta environment characterisation; exposure measurement collection and data processing and analysis.</w:t>
            </w:r>
          </w:p>
          <w:p w14:paraId="23D12B29"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Alberta environment characterisation -  survey of 7 Alberta construction industry leaders for ‘common silica processes’ (CSPs) with 36 CSPs identified with 11 new CSPs not previously reported.</w:t>
            </w:r>
          </w:p>
          <w:p w14:paraId="2A718083"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Exposure measurement collection – RCS monitoring across 27 different CSPs with 139 high-quality RCS exposure measurements with detailed supplementary information added to pre-existing RCS exposure database.</w:t>
            </w:r>
          </w:p>
          <w:p w14:paraId="5F5BF967"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Seven new CSPs added</w:t>
            </w:r>
          </w:p>
          <w:p w14:paraId="667BE01F"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BC silica model performed well against a small data set of Alberta exposure measurements.</w:t>
            </w:r>
          </w:p>
          <w:p w14:paraId="39520132" w14:textId="77777777" w:rsidR="007F7C37" w:rsidRPr="00187F49" w:rsidRDefault="007F7C37" w:rsidP="007F7C37">
            <w:pPr>
              <w:pStyle w:val="a9"/>
              <w:numPr>
                <w:ilvl w:val="0"/>
                <w:numId w:val="5"/>
              </w:numPr>
              <w:spacing w:after="160" w:line="259" w:lineRule="auto"/>
              <w:jc w:val="left"/>
              <w:rPr>
                <w:sz w:val="16"/>
                <w:szCs w:val="16"/>
              </w:rPr>
            </w:pPr>
            <w:r w:rsidRPr="00187F49">
              <w:rPr>
                <w:sz w:val="16"/>
                <w:szCs w:val="16"/>
              </w:rPr>
              <w:t>On-line tool available.</w:t>
            </w:r>
          </w:p>
        </w:tc>
        <w:tc>
          <w:tcPr>
            <w:tcW w:w="1450" w:type="pct"/>
          </w:tcPr>
          <w:p w14:paraId="1A049F47" w14:textId="77777777" w:rsidR="007F7C37" w:rsidRPr="00187F49" w:rsidRDefault="007F7C37" w:rsidP="007F7C37">
            <w:pPr>
              <w:pStyle w:val="a9"/>
              <w:numPr>
                <w:ilvl w:val="0"/>
                <w:numId w:val="6"/>
              </w:numPr>
              <w:spacing w:after="160" w:line="259" w:lineRule="auto"/>
              <w:jc w:val="left"/>
              <w:rPr>
                <w:sz w:val="16"/>
                <w:szCs w:val="16"/>
              </w:rPr>
            </w:pPr>
            <w:r w:rsidRPr="00187F49">
              <w:rPr>
                <w:sz w:val="16"/>
                <w:szCs w:val="16"/>
              </w:rPr>
              <w:t>Supports the need for regional exposure measurement supplementation to refine the BC model towards regional influences.</w:t>
            </w:r>
          </w:p>
          <w:p w14:paraId="3E5F1E8A" w14:textId="77777777" w:rsidR="007F7C37" w:rsidRPr="00187F49" w:rsidRDefault="007F7C37" w:rsidP="007F7C37">
            <w:pPr>
              <w:pStyle w:val="a9"/>
              <w:numPr>
                <w:ilvl w:val="0"/>
                <w:numId w:val="6"/>
              </w:numPr>
              <w:spacing w:after="160" w:line="259" w:lineRule="auto"/>
              <w:jc w:val="left"/>
              <w:rPr>
                <w:b/>
                <w:bCs/>
                <w:sz w:val="16"/>
                <w:szCs w:val="16"/>
                <w:u w:val="single"/>
              </w:rPr>
            </w:pPr>
            <w:r w:rsidRPr="00187F49">
              <w:rPr>
                <w:b/>
                <w:bCs/>
                <w:sz w:val="16"/>
                <w:szCs w:val="16"/>
                <w:u w:val="single"/>
              </w:rPr>
              <w:t>If there are CSPs not represented in the BC model then exposure measurements need to be undertaken for the CSPs and incorporated into an updated model for the model to be valid for those CSPs.</w:t>
            </w:r>
          </w:p>
          <w:p w14:paraId="6223735D" w14:textId="77777777" w:rsidR="007F7C37" w:rsidRPr="00187F49" w:rsidRDefault="007F7C37" w:rsidP="007F7C37">
            <w:pPr>
              <w:pStyle w:val="a9"/>
              <w:numPr>
                <w:ilvl w:val="0"/>
                <w:numId w:val="6"/>
              </w:numPr>
              <w:spacing w:after="160" w:line="259" w:lineRule="auto"/>
              <w:jc w:val="left"/>
              <w:rPr>
                <w:b/>
                <w:bCs/>
                <w:sz w:val="16"/>
                <w:szCs w:val="16"/>
                <w:u w:val="single"/>
              </w:rPr>
            </w:pPr>
            <w:r w:rsidRPr="00187F49">
              <w:rPr>
                <w:b/>
                <w:bCs/>
                <w:sz w:val="16"/>
                <w:szCs w:val="16"/>
                <w:u w:val="single"/>
              </w:rPr>
              <w:t>Sampling methods require low flow and high flow methods to capture longer duration tasks and shorter duration tasks (NIOSH 7500 vs Stacey and Thorpe 2010).</w:t>
            </w:r>
          </w:p>
          <w:p w14:paraId="050DB1D2" w14:textId="77777777" w:rsidR="007F7C37" w:rsidRPr="00187F49" w:rsidRDefault="007F7C37" w:rsidP="007F7C37">
            <w:pPr>
              <w:pStyle w:val="a9"/>
              <w:numPr>
                <w:ilvl w:val="0"/>
                <w:numId w:val="6"/>
              </w:numPr>
              <w:spacing w:after="160" w:line="259" w:lineRule="auto"/>
              <w:jc w:val="left"/>
              <w:rPr>
                <w:b/>
                <w:bCs/>
                <w:sz w:val="16"/>
                <w:szCs w:val="16"/>
                <w:u w:val="single"/>
              </w:rPr>
            </w:pPr>
            <w:r w:rsidRPr="00187F49">
              <w:rPr>
                <w:b/>
                <w:bCs/>
                <w:sz w:val="16"/>
                <w:szCs w:val="16"/>
                <w:u w:val="single"/>
              </w:rPr>
              <w:t>Task-based monitoring vs full-shift monitoring impact exposure results.</w:t>
            </w:r>
          </w:p>
          <w:p w14:paraId="796B8281" w14:textId="77777777" w:rsidR="007F7C37" w:rsidRPr="00187F49" w:rsidRDefault="007F7C37" w:rsidP="007F7C37">
            <w:pPr>
              <w:pStyle w:val="a9"/>
              <w:numPr>
                <w:ilvl w:val="0"/>
                <w:numId w:val="6"/>
              </w:numPr>
              <w:spacing w:after="160" w:line="259" w:lineRule="auto"/>
              <w:jc w:val="left"/>
              <w:rPr>
                <w:b/>
                <w:bCs/>
                <w:sz w:val="16"/>
                <w:szCs w:val="16"/>
                <w:u w:val="single"/>
              </w:rPr>
            </w:pPr>
            <w:r w:rsidRPr="00187F49">
              <w:rPr>
                <w:b/>
                <w:bCs/>
                <w:sz w:val="16"/>
                <w:szCs w:val="16"/>
                <w:u w:val="single"/>
              </w:rPr>
              <w:t>Pearson’s correlation coefficient only 0.5  (estimates vs measurements).</w:t>
            </w:r>
          </w:p>
          <w:p w14:paraId="2C7A7810" w14:textId="77777777" w:rsidR="007F7C37" w:rsidRPr="00187F49" w:rsidRDefault="007F7C37" w:rsidP="007F7C37">
            <w:pPr>
              <w:pStyle w:val="a9"/>
              <w:numPr>
                <w:ilvl w:val="0"/>
                <w:numId w:val="6"/>
              </w:numPr>
              <w:spacing w:after="160" w:line="259" w:lineRule="auto"/>
              <w:jc w:val="left"/>
              <w:rPr>
                <w:b/>
                <w:bCs/>
                <w:sz w:val="16"/>
                <w:szCs w:val="16"/>
                <w:u w:val="single"/>
              </w:rPr>
            </w:pPr>
            <w:r w:rsidRPr="00187F49">
              <w:rPr>
                <w:b/>
                <w:bCs/>
                <w:sz w:val="16"/>
                <w:szCs w:val="16"/>
                <w:u w:val="single"/>
              </w:rPr>
              <w:t>Poor seasonal data representation (mainly winter); limited task sampling diversity; small sample size; were acknowledged limitations.</w:t>
            </w:r>
          </w:p>
          <w:p w14:paraId="715CD88C" w14:textId="77777777" w:rsidR="007F7C37" w:rsidRPr="00187F49" w:rsidRDefault="007F7C37" w:rsidP="007F7C37">
            <w:pPr>
              <w:pStyle w:val="a9"/>
              <w:numPr>
                <w:ilvl w:val="0"/>
                <w:numId w:val="6"/>
              </w:numPr>
              <w:spacing w:after="160" w:line="259" w:lineRule="auto"/>
              <w:jc w:val="left"/>
              <w:rPr>
                <w:b/>
                <w:bCs/>
                <w:sz w:val="16"/>
                <w:szCs w:val="16"/>
                <w:u w:val="single"/>
              </w:rPr>
            </w:pPr>
            <w:r w:rsidRPr="00187F49">
              <w:rPr>
                <w:b/>
                <w:bCs/>
                <w:sz w:val="16"/>
                <w:szCs w:val="16"/>
                <w:u w:val="single"/>
              </w:rPr>
              <w:t>On-going development required.</w:t>
            </w:r>
          </w:p>
          <w:p w14:paraId="11EC71CB" w14:textId="77777777" w:rsidR="007F7C37" w:rsidRPr="00187F49" w:rsidRDefault="007F7C37" w:rsidP="00AB368C">
            <w:pPr>
              <w:pStyle w:val="a9"/>
              <w:ind w:left="770"/>
              <w:rPr>
                <w:b/>
                <w:bCs/>
                <w:sz w:val="16"/>
                <w:szCs w:val="16"/>
                <w:u w:val="single"/>
              </w:rPr>
            </w:pPr>
          </w:p>
        </w:tc>
        <w:tc>
          <w:tcPr>
            <w:tcW w:w="600" w:type="pct"/>
          </w:tcPr>
          <w:p w14:paraId="36D620D5" w14:textId="77777777" w:rsidR="007F7C37" w:rsidRPr="00187F49" w:rsidRDefault="007F7C37" w:rsidP="00AB368C">
            <w:pPr>
              <w:rPr>
                <w:sz w:val="16"/>
                <w:szCs w:val="16"/>
              </w:rPr>
            </w:pPr>
            <w:r w:rsidRPr="00187F49">
              <w:rPr>
                <w:sz w:val="16"/>
                <w:szCs w:val="16"/>
              </w:rPr>
              <w:t>Evaluation of the application of BCCSA to a region in Canada (Alberta).</w:t>
            </w:r>
          </w:p>
        </w:tc>
      </w:tr>
      <w:tr w:rsidR="007F7C37" w:rsidRPr="00E02BFA" w14:paraId="47AB519B" w14:textId="77777777" w:rsidTr="009A05CA">
        <w:tc>
          <w:tcPr>
            <w:tcW w:w="450" w:type="pct"/>
            <w:shd w:val="clear" w:color="auto" w:fill="A5C9EB" w:themeFill="text2" w:themeFillTint="40"/>
          </w:tcPr>
          <w:p w14:paraId="1D58B8D9" w14:textId="77777777" w:rsidR="007F7C37" w:rsidRPr="00187F49" w:rsidRDefault="007F7C37" w:rsidP="00AB368C">
            <w:pPr>
              <w:jc w:val="center"/>
              <w:rPr>
                <w:sz w:val="16"/>
                <w:szCs w:val="16"/>
              </w:rPr>
            </w:pPr>
            <w:r w:rsidRPr="00187F49">
              <w:rPr>
                <w:b/>
                <w:bCs/>
                <w:sz w:val="16"/>
                <w:szCs w:val="16"/>
              </w:rPr>
              <w:t>Publication</w:t>
            </w:r>
          </w:p>
        </w:tc>
        <w:tc>
          <w:tcPr>
            <w:tcW w:w="2500" w:type="pct"/>
            <w:gridSpan w:val="2"/>
            <w:shd w:val="clear" w:color="auto" w:fill="A5C9EB" w:themeFill="text2" w:themeFillTint="40"/>
          </w:tcPr>
          <w:p w14:paraId="6FB81ADF" w14:textId="77777777" w:rsidR="007F7C37" w:rsidRPr="00187F49" w:rsidRDefault="007F7C37" w:rsidP="00AB368C">
            <w:pPr>
              <w:jc w:val="center"/>
              <w:rPr>
                <w:sz w:val="16"/>
                <w:szCs w:val="16"/>
              </w:rPr>
            </w:pPr>
            <w:r w:rsidRPr="00187F49">
              <w:rPr>
                <w:b/>
                <w:bCs/>
                <w:sz w:val="16"/>
                <w:szCs w:val="16"/>
              </w:rPr>
              <w:t>Key points</w:t>
            </w:r>
          </w:p>
        </w:tc>
        <w:tc>
          <w:tcPr>
            <w:tcW w:w="1450" w:type="pct"/>
            <w:shd w:val="clear" w:color="auto" w:fill="A5C9EB" w:themeFill="text2" w:themeFillTint="40"/>
          </w:tcPr>
          <w:p w14:paraId="04EBC624" w14:textId="77777777" w:rsidR="007F7C37" w:rsidRPr="00187F49" w:rsidRDefault="007F7C37" w:rsidP="00AB368C">
            <w:pPr>
              <w:jc w:val="center"/>
              <w:rPr>
                <w:sz w:val="16"/>
                <w:szCs w:val="16"/>
              </w:rPr>
            </w:pPr>
            <w:r w:rsidRPr="00187F49">
              <w:rPr>
                <w:b/>
                <w:bCs/>
                <w:sz w:val="16"/>
                <w:szCs w:val="16"/>
              </w:rPr>
              <w:t>Comments and Gap analysis</w:t>
            </w:r>
          </w:p>
        </w:tc>
        <w:tc>
          <w:tcPr>
            <w:tcW w:w="600" w:type="pct"/>
            <w:shd w:val="clear" w:color="auto" w:fill="A5C9EB" w:themeFill="text2" w:themeFillTint="40"/>
          </w:tcPr>
          <w:p w14:paraId="641D008F" w14:textId="77777777" w:rsidR="007F7C37" w:rsidRPr="00187F49" w:rsidRDefault="007F7C37" w:rsidP="00AB368C">
            <w:pPr>
              <w:jc w:val="center"/>
              <w:rPr>
                <w:b/>
                <w:bCs/>
                <w:sz w:val="16"/>
                <w:szCs w:val="16"/>
              </w:rPr>
            </w:pPr>
            <w:r w:rsidRPr="00187F49">
              <w:rPr>
                <w:b/>
                <w:bCs/>
                <w:sz w:val="16"/>
                <w:szCs w:val="16"/>
              </w:rPr>
              <w:t>Objective</w:t>
            </w:r>
          </w:p>
        </w:tc>
      </w:tr>
      <w:tr w:rsidR="007F7C37" w:rsidRPr="00E02BFA" w14:paraId="1A12B768" w14:textId="77777777" w:rsidTr="009A05CA">
        <w:tc>
          <w:tcPr>
            <w:tcW w:w="450" w:type="pct"/>
          </w:tcPr>
          <w:p w14:paraId="1266711E" w14:textId="61699D18" w:rsidR="007F7C37" w:rsidRPr="00187F49" w:rsidRDefault="007F7C37" w:rsidP="00AB368C">
            <w:pPr>
              <w:rPr>
                <w:sz w:val="16"/>
                <w:szCs w:val="16"/>
              </w:rPr>
            </w:pPr>
            <w:r w:rsidRPr="00187F49">
              <w:rPr>
                <w:sz w:val="16"/>
                <w:szCs w:val="16"/>
              </w:rPr>
              <w:t>Davies and Gorman-Ng 2020</w:t>
            </w:r>
            <w:r w:rsidR="0027195C">
              <w:rPr>
                <w:sz w:val="16"/>
                <w:szCs w:val="16"/>
              </w:rPr>
              <w:t xml:space="preserve"> [9]</w:t>
            </w:r>
          </w:p>
        </w:tc>
        <w:tc>
          <w:tcPr>
            <w:tcW w:w="2500" w:type="pct"/>
            <w:gridSpan w:val="2"/>
          </w:tcPr>
          <w:p w14:paraId="7F0E3C26"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This paper presents the online adaptation of the BCCSA tool which incorporates the updated information from the Manitoba and Alberta research exercises.</w:t>
            </w:r>
          </w:p>
          <w:p w14:paraId="60267D1B"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The historical information presented highlights the amendments brought in by the WorkSafeBC, enabling objective air monitoring data use from peer-reviewed or scientific studies to be considered for the assessment of industry RCS worker exposures.</w:t>
            </w:r>
          </w:p>
          <w:p w14:paraId="3F9A6607"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A number of design objectives were established for the on-line tool such as (a) a tool to reduce industry RCS exposures; (b) a user friendly interface; (c) information presented to be consistent with the regulatory framework (d) it should function as an educational tool and (e) it should explore novel methods for exposure data collection and use.</w:t>
            </w:r>
          </w:p>
          <w:p w14:paraId="2148DFA1"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lastRenderedPageBreak/>
              <w:t>The tool was also designed for users to (a) achieve regulatory compliance (b) have the capacity for data updating and (c) be able to quantitatively predict exposures and required controls.</w:t>
            </w:r>
          </w:p>
          <w:p w14:paraId="03B7E91A"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The updating processes were considered an important option for improving tool efficacy.</w:t>
            </w:r>
          </w:p>
          <w:p w14:paraId="4176341B"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A Common Silica Process construct (CSP) was developed which comprised task plus material plus tool as an index of base exposure estimates.</w:t>
            </w:r>
          </w:p>
          <w:p w14:paraId="6EB9C958"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The final model was a multiple linear regression model with exposure level as the dependent variable and a range of independent variables such as sampling duration, common silica process, industry sector, work environment sampling duration and geographic region.</w:t>
            </w:r>
          </w:p>
          <w:p w14:paraId="686E377E"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Controls incorporated included local exhaust ventilation, local exhaust ventilation integrated with tool and separation from source (e.g. enclosed cab).</w:t>
            </w:r>
          </w:p>
          <w:p w14:paraId="6753C6CB"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British Columbia CSPs (25) by material (12) presented in Table 2.</w:t>
            </w:r>
          </w:p>
          <w:p w14:paraId="13FE5AC7"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Exposure control plan (ECP) generated.</w:t>
            </w:r>
          </w:p>
          <w:p w14:paraId="1FED2F87"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Six distinct functions – accounting; ECP archive; task data capture; calculations (upper 95</w:t>
            </w:r>
            <w:r w:rsidRPr="00187F49">
              <w:rPr>
                <w:sz w:val="16"/>
                <w:szCs w:val="16"/>
                <w:vertAlign w:val="superscript"/>
              </w:rPr>
              <w:t>th</w:t>
            </w:r>
            <w:r w:rsidRPr="00187F49">
              <w:rPr>
                <w:sz w:val="16"/>
                <w:szCs w:val="16"/>
              </w:rPr>
              <w:t xml:space="preserve"> percentile) +/- controls; education; outputs.</w:t>
            </w:r>
          </w:p>
          <w:p w14:paraId="69452076"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Released to public in May 2017.</w:t>
            </w:r>
          </w:p>
        </w:tc>
        <w:tc>
          <w:tcPr>
            <w:tcW w:w="1450" w:type="pct"/>
          </w:tcPr>
          <w:p w14:paraId="1BFB4794"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lastRenderedPageBreak/>
              <w:t>The tool is only as robust as the site- and regional-specific exposure data.</w:t>
            </w:r>
          </w:p>
          <w:p w14:paraId="11F5C426"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Some data were required to be de-aggregated from summary statistics by generating simulated discrete observations.</w:t>
            </w:r>
          </w:p>
          <w:p w14:paraId="1C728EF1"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Insufficient data for separation from source so exposure reductions applied from literature (25% up to 50% if &lt;4 hour exposure).</w:t>
            </w:r>
          </w:p>
          <w:p w14:paraId="71E282AC"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lastRenderedPageBreak/>
              <w:t>Upper 95</w:t>
            </w:r>
            <w:r w:rsidRPr="00187F49">
              <w:rPr>
                <w:b/>
                <w:bCs/>
                <w:sz w:val="16"/>
                <w:szCs w:val="16"/>
                <w:u w:val="single"/>
                <w:vertAlign w:val="superscript"/>
              </w:rPr>
              <w:t>th</w:t>
            </w:r>
            <w:r w:rsidRPr="00187F49">
              <w:rPr>
                <w:b/>
                <w:bCs/>
                <w:sz w:val="16"/>
                <w:szCs w:val="16"/>
                <w:u w:val="single"/>
              </w:rPr>
              <w:t xml:space="preserve"> percentile value reported in the tool due to data variability (based on Monte Carlo simulation of 1000 values).</w:t>
            </w:r>
          </w:p>
          <w:p w14:paraId="19BBF97F"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Tool does not generate an exposure estimate if objective data not available. Need to obtain exposure measurements.</w:t>
            </w:r>
          </w:p>
          <w:p w14:paraId="5B5F3E19"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Continual updates required.</w:t>
            </w:r>
          </w:p>
          <w:p w14:paraId="6FDE316D"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Tool only used in British Columbia.</w:t>
            </w:r>
          </w:p>
          <w:p w14:paraId="3A1B1577"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Correlation coefficient with other European models was 0.5.</w:t>
            </w:r>
          </w:p>
          <w:p w14:paraId="3C133B3D"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Only one silica control process evaluation at a time.</w:t>
            </w:r>
          </w:p>
        </w:tc>
        <w:tc>
          <w:tcPr>
            <w:tcW w:w="600" w:type="pct"/>
          </w:tcPr>
          <w:p w14:paraId="48D4782A" w14:textId="77777777" w:rsidR="007F7C37" w:rsidRPr="00187F49" w:rsidRDefault="007F7C37" w:rsidP="00AB368C">
            <w:pPr>
              <w:rPr>
                <w:sz w:val="16"/>
                <w:szCs w:val="16"/>
              </w:rPr>
            </w:pPr>
            <w:r w:rsidRPr="00187F49">
              <w:rPr>
                <w:sz w:val="16"/>
                <w:szCs w:val="16"/>
              </w:rPr>
              <w:lastRenderedPageBreak/>
              <w:t>Consideration of regional and online tool factors in maintaining relevance and confidence in model use.</w:t>
            </w:r>
          </w:p>
        </w:tc>
      </w:tr>
      <w:tr w:rsidR="007F7C37" w:rsidRPr="003F65D0" w14:paraId="111FC3F4" w14:textId="77777777" w:rsidTr="009A05CA">
        <w:tc>
          <w:tcPr>
            <w:tcW w:w="450" w:type="pct"/>
            <w:shd w:val="clear" w:color="auto" w:fill="A5C9EB" w:themeFill="text2" w:themeFillTint="40"/>
          </w:tcPr>
          <w:p w14:paraId="79E60ACF" w14:textId="77777777" w:rsidR="007F7C37" w:rsidRPr="00187F49" w:rsidRDefault="007F7C37" w:rsidP="00AB368C">
            <w:pPr>
              <w:jc w:val="center"/>
              <w:rPr>
                <w:sz w:val="16"/>
                <w:szCs w:val="16"/>
              </w:rPr>
            </w:pPr>
            <w:bookmarkStart w:id="3" w:name="_Hlk179892561"/>
            <w:r w:rsidRPr="00187F49">
              <w:rPr>
                <w:b/>
                <w:bCs/>
                <w:sz w:val="16"/>
                <w:szCs w:val="16"/>
              </w:rPr>
              <w:t>Publication</w:t>
            </w:r>
          </w:p>
        </w:tc>
        <w:tc>
          <w:tcPr>
            <w:tcW w:w="2500" w:type="pct"/>
            <w:gridSpan w:val="2"/>
            <w:shd w:val="clear" w:color="auto" w:fill="A5C9EB" w:themeFill="text2" w:themeFillTint="40"/>
          </w:tcPr>
          <w:p w14:paraId="0939A5AF" w14:textId="77777777" w:rsidR="007F7C37" w:rsidRPr="00187F49" w:rsidRDefault="007F7C37" w:rsidP="00AB368C">
            <w:pPr>
              <w:jc w:val="center"/>
              <w:rPr>
                <w:sz w:val="16"/>
                <w:szCs w:val="16"/>
              </w:rPr>
            </w:pPr>
            <w:r w:rsidRPr="00187F49">
              <w:rPr>
                <w:b/>
                <w:bCs/>
                <w:sz w:val="16"/>
                <w:szCs w:val="16"/>
              </w:rPr>
              <w:t>Key points</w:t>
            </w:r>
          </w:p>
        </w:tc>
        <w:tc>
          <w:tcPr>
            <w:tcW w:w="1450" w:type="pct"/>
            <w:shd w:val="clear" w:color="auto" w:fill="A5C9EB" w:themeFill="text2" w:themeFillTint="40"/>
          </w:tcPr>
          <w:p w14:paraId="0395CF11" w14:textId="77777777" w:rsidR="007F7C37" w:rsidRPr="00187F49" w:rsidRDefault="007F7C37" w:rsidP="00AB368C">
            <w:pPr>
              <w:jc w:val="center"/>
              <w:rPr>
                <w:sz w:val="16"/>
                <w:szCs w:val="16"/>
              </w:rPr>
            </w:pPr>
            <w:r w:rsidRPr="00187F49">
              <w:rPr>
                <w:b/>
                <w:bCs/>
                <w:sz w:val="16"/>
                <w:szCs w:val="16"/>
              </w:rPr>
              <w:t>Comments and gap analysis</w:t>
            </w:r>
          </w:p>
        </w:tc>
        <w:tc>
          <w:tcPr>
            <w:tcW w:w="600" w:type="pct"/>
            <w:shd w:val="clear" w:color="auto" w:fill="A5C9EB" w:themeFill="text2" w:themeFillTint="40"/>
          </w:tcPr>
          <w:p w14:paraId="25358443" w14:textId="77777777" w:rsidR="007F7C37" w:rsidRPr="00187F49" w:rsidRDefault="007F7C37" w:rsidP="00AB368C">
            <w:pPr>
              <w:jc w:val="center"/>
              <w:rPr>
                <w:b/>
                <w:bCs/>
                <w:sz w:val="16"/>
                <w:szCs w:val="16"/>
              </w:rPr>
            </w:pPr>
            <w:r w:rsidRPr="00187F49">
              <w:rPr>
                <w:b/>
                <w:bCs/>
                <w:sz w:val="16"/>
                <w:szCs w:val="16"/>
              </w:rPr>
              <w:t>Objective</w:t>
            </w:r>
          </w:p>
        </w:tc>
      </w:tr>
      <w:tr w:rsidR="007F7C37" w:rsidRPr="003F65D0" w14:paraId="6A651301" w14:textId="77777777" w:rsidTr="009A05CA">
        <w:tc>
          <w:tcPr>
            <w:tcW w:w="450" w:type="pct"/>
          </w:tcPr>
          <w:p w14:paraId="0AAD114E" w14:textId="2BCB476B" w:rsidR="007F7C37" w:rsidRPr="00187F49" w:rsidRDefault="007F7C37" w:rsidP="00AB368C">
            <w:pPr>
              <w:rPr>
                <w:sz w:val="16"/>
                <w:szCs w:val="16"/>
              </w:rPr>
            </w:pPr>
            <w:r w:rsidRPr="00187F49">
              <w:rPr>
                <w:sz w:val="16"/>
                <w:szCs w:val="16"/>
              </w:rPr>
              <w:t>Davies et al., 2021</w:t>
            </w:r>
            <w:r w:rsidR="0027195C">
              <w:rPr>
                <w:sz w:val="16"/>
                <w:szCs w:val="16"/>
              </w:rPr>
              <w:t xml:space="preserve"> [15]</w:t>
            </w:r>
          </w:p>
        </w:tc>
        <w:tc>
          <w:tcPr>
            <w:tcW w:w="2500" w:type="pct"/>
            <w:gridSpan w:val="2"/>
          </w:tcPr>
          <w:p w14:paraId="2C7D9083"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Involved comprehensive assessment of RCS exposures at Manitoba Construction sites between June 2018 to August 2020.</w:t>
            </w:r>
          </w:p>
          <w:p w14:paraId="681DCDC0"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GM above the OEL with renovation work having higher exposures.</w:t>
            </w:r>
          </w:p>
          <w:p w14:paraId="5A6B289F"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Current statistical prediction model improved in two areas.</w:t>
            </w:r>
          </w:p>
          <w:p w14:paraId="5C024EDA" w14:textId="77777777" w:rsidR="007F7C37" w:rsidRPr="00187F49" w:rsidRDefault="007F7C37" w:rsidP="007F7C37">
            <w:pPr>
              <w:pStyle w:val="a9"/>
              <w:numPr>
                <w:ilvl w:val="1"/>
                <w:numId w:val="7"/>
              </w:numPr>
              <w:spacing w:after="160" w:line="259" w:lineRule="auto"/>
              <w:jc w:val="left"/>
              <w:rPr>
                <w:sz w:val="16"/>
                <w:szCs w:val="16"/>
              </w:rPr>
            </w:pPr>
            <w:r w:rsidRPr="00187F49">
              <w:rPr>
                <w:sz w:val="16"/>
                <w:szCs w:val="16"/>
              </w:rPr>
              <w:t>New data for BC, AB and MN plus extended literature review.</w:t>
            </w:r>
          </w:p>
          <w:p w14:paraId="5F97DB08" w14:textId="77777777" w:rsidR="007F7C37" w:rsidRPr="00187F49" w:rsidRDefault="007F7C37" w:rsidP="007F7C37">
            <w:pPr>
              <w:pStyle w:val="a9"/>
              <w:numPr>
                <w:ilvl w:val="1"/>
                <w:numId w:val="7"/>
              </w:numPr>
              <w:spacing w:after="160" w:line="259" w:lineRule="auto"/>
              <w:jc w:val="left"/>
              <w:rPr>
                <w:sz w:val="16"/>
                <w:szCs w:val="16"/>
              </w:rPr>
            </w:pPr>
            <w:r w:rsidRPr="00187F49">
              <w:rPr>
                <w:sz w:val="16"/>
                <w:szCs w:val="16"/>
              </w:rPr>
              <w:t>Updated statistical programming improved estimation of uncertainty around model predictions.</w:t>
            </w:r>
          </w:p>
          <w:p w14:paraId="5FBAB9F1"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BC risk framework – GM should be less than the OEL.</w:t>
            </w:r>
          </w:p>
          <w:p w14:paraId="197C2BF1"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AIHA risk framework – P95 should be less than the OEL.</w:t>
            </w:r>
          </w:p>
          <w:p w14:paraId="4BAE8AC7"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Task-specific exposure data incorporated.</w:t>
            </w:r>
          </w:p>
          <w:p w14:paraId="020EC00D"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New user interface added.</w:t>
            </w:r>
          </w:p>
          <w:p w14:paraId="0AEA5857"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Manitoba task based sampling undertaken with high flow methods employed for NIOSH method 7500 (8L/min vs 2L/min).</w:t>
            </w:r>
          </w:p>
          <w:p w14:paraId="5B4BBC20"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Used R version 4.1.0 for analysis.</w:t>
            </w:r>
          </w:p>
          <w:p w14:paraId="037D0324"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Multiple linear regression used (forward stepwise).</w:t>
            </w:r>
          </w:p>
          <w:p w14:paraId="6DEE395E"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Dependent variable was the log-transformed RCS concentration.</w:t>
            </w:r>
          </w:p>
          <w:p w14:paraId="671BBB50"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 xml:space="preserve">Independent </w:t>
            </w:r>
            <w:r w:rsidRPr="003D7E45">
              <w:rPr>
                <w:sz w:val="16"/>
                <w:szCs w:val="16"/>
              </w:rPr>
              <w:t>= province</w:t>
            </w:r>
            <w:r w:rsidRPr="00187F49">
              <w:rPr>
                <w:sz w:val="16"/>
                <w:szCs w:val="16"/>
              </w:rPr>
              <w:t>, task type, control, material, work environment, sampling duration, project type and activity sector.</w:t>
            </w:r>
          </w:p>
          <w:p w14:paraId="2DEDE91F"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Models also task-based excluding full-shift samples.</w:t>
            </w:r>
          </w:p>
          <w:p w14:paraId="1B1503CF"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lastRenderedPageBreak/>
              <w:t>Bayesian approach – prior distribution and then modelling to develop distribution from actual measurements.</w:t>
            </w:r>
          </w:p>
          <w:p w14:paraId="103FE2DC"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Combined exposure assessment results in an overall improved assessment – based on the WEBEXPO project.</w:t>
            </w:r>
          </w:p>
          <w:p w14:paraId="7DEED069"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Prediction model plus Bayesian model combined.</w:t>
            </w:r>
          </w:p>
          <w:p w14:paraId="4DBE38B7"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Prediction estimates then addition of measurement data then combined outcome (3-step process).</w:t>
            </w:r>
          </w:p>
        </w:tc>
        <w:tc>
          <w:tcPr>
            <w:tcW w:w="1450" w:type="pct"/>
          </w:tcPr>
          <w:p w14:paraId="1592A5F7"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lastRenderedPageBreak/>
              <w:t>Variance in source material composition poorly understood.</w:t>
            </w:r>
          </w:p>
          <w:p w14:paraId="35F5B445"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Alberta study reported 77% of exposures above OEL.</w:t>
            </w:r>
          </w:p>
          <w:p w14:paraId="2E11961B"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Different work and tasks, daily change, site to site variability problematic due to time and space patterns.</w:t>
            </w:r>
          </w:p>
          <w:p w14:paraId="73B857E2"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Used objective air monitoring collected at ‘equivalent work operations’.</w:t>
            </w:r>
          </w:p>
          <w:p w14:paraId="02105D49"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Continually updatable database of RCS exposure measurements.</w:t>
            </w:r>
          </w:p>
          <w:p w14:paraId="48D76773"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Project focussed on Manitoba construction industry.</w:t>
            </w:r>
          </w:p>
          <w:p w14:paraId="0AA88DE2"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Bayesian approach with a priori distribution to which measurement data is evaluated to determine actual probability distribution.</w:t>
            </w:r>
          </w:p>
          <w:p w14:paraId="7F57DF2E"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This is a refinement as it incorporates more detailed task-based measurement data.</w:t>
            </w:r>
          </w:p>
          <w:p w14:paraId="6919DDDF"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Renovations produced higher measured results.</w:t>
            </w:r>
          </w:p>
          <w:p w14:paraId="20619F16"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lastRenderedPageBreak/>
              <w:t>Indoor and confined environments reported highest measurements.</w:t>
            </w:r>
          </w:p>
          <w:p w14:paraId="5C20D81F"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Water spray on tool produced best exposure reduction.</w:t>
            </w:r>
          </w:p>
          <w:p w14:paraId="731001E3"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The measurement information updates the prior GM distribution estimates and improves ‘accuracy’.</w:t>
            </w:r>
          </w:p>
          <w:p w14:paraId="48255F7E"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Significant disparity between use of BC GM and AIHA 95</w:t>
            </w:r>
            <w:r w:rsidRPr="00187F49">
              <w:rPr>
                <w:sz w:val="16"/>
                <w:szCs w:val="16"/>
                <w:vertAlign w:val="superscript"/>
              </w:rPr>
              <w:t>th</w:t>
            </w:r>
            <w:r w:rsidRPr="00187F49">
              <w:rPr>
                <w:sz w:val="16"/>
                <w:szCs w:val="16"/>
              </w:rPr>
              <w:t xml:space="preserve"> percentile endpoints for OEL assessments.</w:t>
            </w:r>
          </w:p>
          <w:p w14:paraId="5CCD52B1"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3-step process using on-line tool to estimate comparisons against the OEL.</w:t>
            </w:r>
          </w:p>
          <w:p w14:paraId="4BEA3C0C"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Variance between provinces considered to be due to regional differences, e.g. compositional variance of source materials and formulations.</w:t>
            </w:r>
          </w:p>
        </w:tc>
        <w:tc>
          <w:tcPr>
            <w:tcW w:w="600" w:type="pct"/>
          </w:tcPr>
          <w:p w14:paraId="740E79D7" w14:textId="77777777" w:rsidR="007F7C37" w:rsidRPr="00187F49" w:rsidRDefault="007F7C37" w:rsidP="00AB368C">
            <w:pPr>
              <w:rPr>
                <w:sz w:val="16"/>
                <w:szCs w:val="16"/>
              </w:rPr>
            </w:pPr>
            <w:r w:rsidRPr="00187F49">
              <w:rPr>
                <w:sz w:val="16"/>
                <w:szCs w:val="16"/>
              </w:rPr>
              <w:lastRenderedPageBreak/>
              <w:t>Evaluation of the application of BCCSA to another region in Canada (Manitoba).</w:t>
            </w:r>
          </w:p>
        </w:tc>
      </w:tr>
      <w:bookmarkEnd w:id="3"/>
      <w:tr w:rsidR="007F7C37" w:rsidRPr="003F65D0" w14:paraId="011C2EC0" w14:textId="77777777" w:rsidTr="009A05CA">
        <w:tc>
          <w:tcPr>
            <w:tcW w:w="450" w:type="pct"/>
            <w:shd w:val="clear" w:color="auto" w:fill="A5C9EB" w:themeFill="text2" w:themeFillTint="40"/>
          </w:tcPr>
          <w:p w14:paraId="381E4347" w14:textId="77777777" w:rsidR="007F7C37" w:rsidRPr="00187F49" w:rsidRDefault="007F7C37" w:rsidP="00AB368C">
            <w:pPr>
              <w:jc w:val="center"/>
              <w:rPr>
                <w:sz w:val="16"/>
                <w:szCs w:val="16"/>
              </w:rPr>
            </w:pPr>
            <w:r w:rsidRPr="00187F49">
              <w:rPr>
                <w:b/>
                <w:bCs/>
                <w:sz w:val="16"/>
                <w:szCs w:val="16"/>
              </w:rPr>
              <w:t>Publication</w:t>
            </w:r>
          </w:p>
        </w:tc>
        <w:tc>
          <w:tcPr>
            <w:tcW w:w="2500" w:type="pct"/>
            <w:gridSpan w:val="2"/>
            <w:shd w:val="clear" w:color="auto" w:fill="A5C9EB" w:themeFill="text2" w:themeFillTint="40"/>
          </w:tcPr>
          <w:p w14:paraId="7C07DEF8" w14:textId="77777777" w:rsidR="007F7C37" w:rsidRPr="00187F49" w:rsidRDefault="007F7C37" w:rsidP="00AB368C">
            <w:pPr>
              <w:pStyle w:val="a9"/>
              <w:jc w:val="center"/>
              <w:rPr>
                <w:sz w:val="16"/>
                <w:szCs w:val="16"/>
              </w:rPr>
            </w:pPr>
            <w:r w:rsidRPr="00187F49">
              <w:rPr>
                <w:b/>
                <w:bCs/>
                <w:sz w:val="16"/>
                <w:szCs w:val="16"/>
              </w:rPr>
              <w:t>Key points</w:t>
            </w:r>
          </w:p>
        </w:tc>
        <w:tc>
          <w:tcPr>
            <w:tcW w:w="1450" w:type="pct"/>
            <w:shd w:val="clear" w:color="auto" w:fill="A5C9EB" w:themeFill="text2" w:themeFillTint="40"/>
          </w:tcPr>
          <w:p w14:paraId="5501CAAD" w14:textId="77777777" w:rsidR="007F7C37" w:rsidRPr="00187F49" w:rsidRDefault="007F7C37" w:rsidP="00AB368C">
            <w:pPr>
              <w:jc w:val="center"/>
              <w:rPr>
                <w:b/>
                <w:bCs/>
                <w:sz w:val="16"/>
                <w:szCs w:val="16"/>
                <w:u w:val="single"/>
              </w:rPr>
            </w:pPr>
            <w:r w:rsidRPr="00187F49">
              <w:rPr>
                <w:b/>
                <w:bCs/>
                <w:sz w:val="16"/>
                <w:szCs w:val="16"/>
              </w:rPr>
              <w:t>Comments and Gap analysis</w:t>
            </w:r>
          </w:p>
        </w:tc>
        <w:tc>
          <w:tcPr>
            <w:tcW w:w="600" w:type="pct"/>
            <w:shd w:val="clear" w:color="auto" w:fill="A5C9EB" w:themeFill="text2" w:themeFillTint="40"/>
          </w:tcPr>
          <w:p w14:paraId="40C92EFB" w14:textId="77777777" w:rsidR="007F7C37" w:rsidRPr="00187F49" w:rsidRDefault="007F7C37" w:rsidP="00AB368C">
            <w:pPr>
              <w:pStyle w:val="a9"/>
              <w:jc w:val="center"/>
              <w:rPr>
                <w:b/>
                <w:bCs/>
                <w:sz w:val="16"/>
                <w:szCs w:val="16"/>
                <w:u w:val="single"/>
              </w:rPr>
            </w:pPr>
            <w:r w:rsidRPr="00187F49">
              <w:rPr>
                <w:b/>
                <w:bCs/>
                <w:sz w:val="16"/>
                <w:szCs w:val="16"/>
              </w:rPr>
              <w:t>Objective</w:t>
            </w:r>
          </w:p>
        </w:tc>
      </w:tr>
      <w:tr w:rsidR="007F7C37" w:rsidRPr="003F65D0" w14:paraId="55FE8CA0" w14:textId="77777777" w:rsidTr="009A05CA">
        <w:tc>
          <w:tcPr>
            <w:tcW w:w="450" w:type="pct"/>
          </w:tcPr>
          <w:p w14:paraId="313A2DE1" w14:textId="7B21F87F" w:rsidR="007F7C37" w:rsidRPr="00187F49" w:rsidRDefault="007F7C37" w:rsidP="00AB368C">
            <w:pPr>
              <w:rPr>
                <w:sz w:val="16"/>
                <w:szCs w:val="16"/>
              </w:rPr>
            </w:pPr>
            <w:r w:rsidRPr="00187F49">
              <w:rPr>
                <w:sz w:val="16"/>
                <w:szCs w:val="16"/>
              </w:rPr>
              <w:t>Davies, Gorman-Ng, Lavoué 2021</w:t>
            </w:r>
            <w:r w:rsidR="0027195C">
              <w:rPr>
                <w:sz w:val="16"/>
                <w:szCs w:val="16"/>
              </w:rPr>
              <w:t xml:space="preserve"> [15]</w:t>
            </w:r>
          </w:p>
        </w:tc>
        <w:tc>
          <w:tcPr>
            <w:tcW w:w="2500" w:type="pct"/>
            <w:gridSpan w:val="2"/>
          </w:tcPr>
          <w:p w14:paraId="1FFED813"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Appendix 4 of the report for Manitoba contained a detailed statistical; evaluation of the Bayesian models for the BCCSA.</w:t>
            </w:r>
          </w:p>
        </w:tc>
        <w:tc>
          <w:tcPr>
            <w:tcW w:w="1450" w:type="pct"/>
          </w:tcPr>
          <w:p w14:paraId="0EB40CE3"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This was subject to review by the independent statistician</w:t>
            </w:r>
          </w:p>
        </w:tc>
        <w:tc>
          <w:tcPr>
            <w:tcW w:w="600" w:type="pct"/>
          </w:tcPr>
          <w:p w14:paraId="2C5F103C" w14:textId="77777777" w:rsidR="007F7C37" w:rsidRPr="00187F49" w:rsidRDefault="007F7C37" w:rsidP="00AB368C">
            <w:pPr>
              <w:pStyle w:val="a9"/>
              <w:ind w:left="35"/>
              <w:rPr>
                <w:sz w:val="16"/>
                <w:szCs w:val="16"/>
              </w:rPr>
            </w:pPr>
            <w:r w:rsidRPr="00187F49">
              <w:rPr>
                <w:sz w:val="16"/>
                <w:szCs w:val="16"/>
              </w:rPr>
              <w:t>Evaluation of the principles of Bayesian techniques for this project.</w:t>
            </w:r>
          </w:p>
        </w:tc>
      </w:tr>
      <w:tr w:rsidR="007F7C37" w:rsidRPr="003F65D0" w14:paraId="53F79FDE" w14:textId="77777777" w:rsidTr="009A05CA">
        <w:tc>
          <w:tcPr>
            <w:tcW w:w="450" w:type="pct"/>
            <w:tcBorders>
              <w:bottom w:val="single" w:sz="4" w:space="0" w:color="auto"/>
            </w:tcBorders>
          </w:tcPr>
          <w:p w14:paraId="2165A883" w14:textId="6440304E" w:rsidR="007F7C37" w:rsidRPr="00187F49" w:rsidRDefault="007F7C37" w:rsidP="00AB368C">
            <w:pPr>
              <w:rPr>
                <w:sz w:val="16"/>
                <w:szCs w:val="16"/>
              </w:rPr>
            </w:pPr>
            <w:r w:rsidRPr="00187F49">
              <w:rPr>
                <w:sz w:val="16"/>
                <w:szCs w:val="16"/>
              </w:rPr>
              <w:t>Gorman-Ng et al 2023</w:t>
            </w:r>
            <w:r w:rsidR="0027195C">
              <w:rPr>
                <w:sz w:val="16"/>
                <w:szCs w:val="16"/>
              </w:rPr>
              <w:t xml:space="preserve"> [10]</w:t>
            </w:r>
          </w:p>
        </w:tc>
        <w:tc>
          <w:tcPr>
            <w:tcW w:w="2500" w:type="pct"/>
            <w:gridSpan w:val="2"/>
            <w:tcBorders>
              <w:bottom w:val="single" w:sz="4" w:space="0" w:color="auto"/>
            </w:tcBorders>
          </w:tcPr>
          <w:p w14:paraId="53FE653B"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Combined analysis of three provinces – Alberta, British Columbia and Manitoba examining 70 worksites across 44 companies.</w:t>
            </w:r>
          </w:p>
          <w:p w14:paraId="617E78C0"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373 RCS samples obtained with 72% above limit of detection.</w:t>
            </w:r>
          </w:p>
          <w:p w14:paraId="4BEB424E"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Dependent variable was the log transformed RCS concentration and independent variables included province, task type, control, material, work environment, sampling duration, project type and activity sector.</w:t>
            </w:r>
          </w:p>
          <w:p w14:paraId="1B5B7B09"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Hi flow (62.7%) and low flow sampling techniques employed due to short task sampling durations.</w:t>
            </w:r>
          </w:p>
          <w:p w14:paraId="1F8BD3CD"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Regional variance but geometric means (GM) greater than the OEL of 0.025 mg/m</w:t>
            </w:r>
            <w:r w:rsidRPr="00187F49">
              <w:rPr>
                <w:sz w:val="16"/>
                <w:szCs w:val="16"/>
                <w:vertAlign w:val="superscript"/>
              </w:rPr>
              <w:t>3</w:t>
            </w:r>
            <w:r w:rsidRPr="00187F49">
              <w:rPr>
                <w:sz w:val="16"/>
                <w:szCs w:val="16"/>
              </w:rPr>
              <w:t xml:space="preserve"> across all 3 jurisdictions.  Highest exposures were breaking and cleaning.</w:t>
            </w:r>
          </w:p>
          <w:p w14:paraId="5249168B"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 xml:space="preserve">Multivariate regression model for RCS concentration and province; task; environment; material; sampling duration; common silica control methods reported </w:t>
            </w:r>
            <w:r w:rsidRPr="003D7E45">
              <w:rPr>
                <w:sz w:val="16"/>
                <w:szCs w:val="16"/>
              </w:rPr>
              <w:t>42%</w:t>
            </w:r>
            <w:r w:rsidRPr="00187F49">
              <w:rPr>
                <w:sz w:val="16"/>
                <w:szCs w:val="16"/>
              </w:rPr>
              <w:t xml:space="preserve"> explanation of variance.  Task was the most sensitive variable.</w:t>
            </w:r>
          </w:p>
          <w:p w14:paraId="58F2BFBE"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Outdoor exposures were 39% lower than indoors and as sampling time increased, RCS exposure levels decreased.</w:t>
            </w:r>
          </w:p>
          <w:p w14:paraId="73B2AF6A"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Many tool descriptions were identified (172 tools from 373 observations).</w:t>
            </w:r>
          </w:p>
          <w:p w14:paraId="29007C15"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lastRenderedPageBreak/>
              <w:t>While breaking and grinding were the highest exposure tasks, mixing and pouring were the lowest.</w:t>
            </w:r>
          </w:p>
          <w:p w14:paraId="12A4EDCD"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Exposures not adjusted for respiratory protection.</w:t>
            </w:r>
          </w:p>
          <w:p w14:paraId="5C437F7A"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Regional variable differences included material formulations; source geological silica variability; concrete processing variability during construction.</w:t>
            </w:r>
          </w:p>
          <w:p w14:paraId="247E5964" w14:textId="77777777" w:rsidR="007F7C37" w:rsidRPr="00187F49" w:rsidRDefault="007F7C37" w:rsidP="00AB368C">
            <w:pPr>
              <w:pStyle w:val="a9"/>
              <w:rPr>
                <w:sz w:val="16"/>
                <w:szCs w:val="16"/>
              </w:rPr>
            </w:pPr>
          </w:p>
        </w:tc>
        <w:tc>
          <w:tcPr>
            <w:tcW w:w="1450" w:type="pct"/>
            <w:tcBorders>
              <w:bottom w:val="single" w:sz="4" w:space="0" w:color="auto"/>
            </w:tcBorders>
          </w:tcPr>
          <w:p w14:paraId="1E3824A7"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sz w:val="16"/>
                <w:szCs w:val="16"/>
              </w:rPr>
              <w:lastRenderedPageBreak/>
              <w:t>Use of local exhaust ventilation and water-fed tools exhibited the greatest exposure reduction although under field conditions in Canada exposure reductions were not as great as other published data suggesting efficacy issues with exposure controls.</w:t>
            </w:r>
          </w:p>
          <w:p w14:paraId="6AE2CD8B"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Outdoor reductions in exposures (40%) were not sufficient to reduce exposures to below health-based OEL levels.</w:t>
            </w:r>
          </w:p>
          <w:p w14:paraId="19F43427"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Restricted space data reported 3-fold increases in RCS exposures (336%).</w:t>
            </w:r>
          </w:p>
          <w:p w14:paraId="488169F3"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Grinding exhibited the greatest variability suggesting more detailed analysis was prudent.</w:t>
            </w:r>
          </w:p>
          <w:p w14:paraId="27CA6872" w14:textId="77777777" w:rsidR="007F7C37" w:rsidRPr="00187F49" w:rsidRDefault="007F7C37" w:rsidP="007F7C37">
            <w:pPr>
              <w:pStyle w:val="a9"/>
              <w:numPr>
                <w:ilvl w:val="0"/>
                <w:numId w:val="7"/>
              </w:numPr>
              <w:spacing w:after="160" w:line="259" w:lineRule="auto"/>
              <w:jc w:val="left"/>
              <w:rPr>
                <w:b/>
                <w:bCs/>
                <w:sz w:val="16"/>
                <w:szCs w:val="16"/>
                <w:u w:val="single"/>
              </w:rPr>
            </w:pPr>
            <w:r w:rsidRPr="00187F49">
              <w:rPr>
                <w:b/>
                <w:bCs/>
                <w:sz w:val="16"/>
                <w:szCs w:val="16"/>
                <w:u w:val="single"/>
              </w:rPr>
              <w:t xml:space="preserve">Additional details regarding air flow rates, ventilation rates or wetting water volume use </w:t>
            </w:r>
            <w:r w:rsidRPr="00187F49">
              <w:rPr>
                <w:b/>
                <w:bCs/>
                <w:sz w:val="16"/>
                <w:szCs w:val="16"/>
                <w:u w:val="single"/>
              </w:rPr>
              <w:lastRenderedPageBreak/>
              <w:t>were recommended to further define exposure controls.</w:t>
            </w:r>
          </w:p>
          <w:p w14:paraId="1B1596BD"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Overall data supported that many workers are exposed at RCS concentrations above guidelines.</w:t>
            </w:r>
          </w:p>
          <w:p w14:paraId="2644826A" w14:textId="77777777" w:rsidR="007F7C37" w:rsidRPr="00187F49" w:rsidRDefault="007F7C37" w:rsidP="007F7C37">
            <w:pPr>
              <w:pStyle w:val="a9"/>
              <w:numPr>
                <w:ilvl w:val="0"/>
                <w:numId w:val="7"/>
              </w:numPr>
              <w:spacing w:after="160" w:line="259" w:lineRule="auto"/>
              <w:jc w:val="left"/>
              <w:rPr>
                <w:sz w:val="16"/>
                <w:szCs w:val="16"/>
              </w:rPr>
            </w:pPr>
            <w:r w:rsidRPr="00187F49">
              <w:rPr>
                <w:sz w:val="16"/>
                <w:szCs w:val="16"/>
              </w:rPr>
              <w:t>Short-term exposures included exceedances of 5x the 8-h TWA which is the ACGIH recommendation.</w:t>
            </w:r>
          </w:p>
        </w:tc>
        <w:tc>
          <w:tcPr>
            <w:tcW w:w="600" w:type="pct"/>
            <w:tcBorders>
              <w:bottom w:val="single" w:sz="4" w:space="0" w:color="auto"/>
            </w:tcBorders>
          </w:tcPr>
          <w:p w14:paraId="2D4BE75D" w14:textId="77777777" w:rsidR="007F7C37" w:rsidRPr="00187F49" w:rsidRDefault="007F7C37" w:rsidP="00AB368C">
            <w:pPr>
              <w:pStyle w:val="a9"/>
              <w:ind w:left="35"/>
              <w:rPr>
                <w:sz w:val="16"/>
                <w:szCs w:val="16"/>
              </w:rPr>
            </w:pPr>
            <w:r w:rsidRPr="00187F49">
              <w:rPr>
                <w:sz w:val="16"/>
                <w:szCs w:val="16"/>
              </w:rPr>
              <w:lastRenderedPageBreak/>
              <w:t>Evaluate an additional study across three Canadian provinces with predictive model generation and examination of determinants.</w:t>
            </w:r>
          </w:p>
        </w:tc>
      </w:tr>
    </w:tbl>
    <w:p w14:paraId="0BE3B757" w14:textId="77777777" w:rsidR="0079012A" w:rsidRPr="006078B4" w:rsidRDefault="0079012A" w:rsidP="008111E6"/>
    <w:sectPr w:rsidR="0079012A" w:rsidRPr="006078B4" w:rsidSect="006078B4">
      <w:headerReference w:type="default" r:id="rId10"/>
      <w:pgSz w:w="16838" w:h="11906" w:orient="landscape"/>
      <w:pgMar w:top="1440" w:right="1440" w:bottom="1440" w:left="42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F8AF3" w14:textId="77777777" w:rsidR="003975CD" w:rsidRDefault="003975CD" w:rsidP="006B5E06">
      <w:pPr>
        <w:spacing w:line="240" w:lineRule="auto"/>
      </w:pPr>
      <w:r>
        <w:separator/>
      </w:r>
    </w:p>
  </w:endnote>
  <w:endnote w:type="continuationSeparator" w:id="0">
    <w:p w14:paraId="0E571F3D" w14:textId="77777777" w:rsidR="003975CD" w:rsidRDefault="003975CD" w:rsidP="006B5E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73DCD" w14:textId="77777777" w:rsidR="003975CD" w:rsidRDefault="003975CD" w:rsidP="006B5E06">
      <w:pPr>
        <w:spacing w:line="240" w:lineRule="auto"/>
      </w:pPr>
      <w:r>
        <w:separator/>
      </w:r>
    </w:p>
  </w:footnote>
  <w:footnote w:type="continuationSeparator" w:id="0">
    <w:p w14:paraId="10AFF6A4" w14:textId="77777777" w:rsidR="003975CD" w:rsidRDefault="003975CD" w:rsidP="006B5E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8669" w14:textId="013F15FF" w:rsidR="006B5E06" w:rsidRDefault="006B5E06">
    <w:pPr>
      <w:pStyle w:val="af0"/>
    </w:pPr>
    <w:r>
      <w:t>Supplementary Materials – S1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55FF"/>
    <w:multiLevelType w:val="hybridMultilevel"/>
    <w:tmpl w:val="1C7044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8847E16"/>
    <w:multiLevelType w:val="hybridMultilevel"/>
    <w:tmpl w:val="14904D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FAE677C"/>
    <w:multiLevelType w:val="hybridMultilevel"/>
    <w:tmpl w:val="96B660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0E921D1"/>
    <w:multiLevelType w:val="hybridMultilevel"/>
    <w:tmpl w:val="36CCADB2"/>
    <w:lvl w:ilvl="0" w:tplc="A1968E5E">
      <w:start w:val="1"/>
      <w:numFmt w:val="decimal"/>
      <w:lvlText w:val="%1."/>
      <w:lvlJc w:val="left"/>
      <w:pPr>
        <w:ind w:left="835" w:hanging="410"/>
      </w:pPr>
      <w:rPr>
        <w:rFonts w:hint="default"/>
      </w:rPr>
    </w:lvl>
    <w:lvl w:ilvl="1" w:tplc="0C090019" w:tentative="1">
      <w:start w:val="1"/>
      <w:numFmt w:val="lowerLetter"/>
      <w:lvlText w:val="%2."/>
      <w:lvlJc w:val="left"/>
      <w:pPr>
        <w:ind w:left="1505" w:hanging="360"/>
      </w:pPr>
    </w:lvl>
    <w:lvl w:ilvl="2" w:tplc="0C09001B" w:tentative="1">
      <w:start w:val="1"/>
      <w:numFmt w:val="lowerRoman"/>
      <w:lvlText w:val="%3."/>
      <w:lvlJc w:val="right"/>
      <w:pPr>
        <w:ind w:left="2225" w:hanging="180"/>
      </w:pPr>
    </w:lvl>
    <w:lvl w:ilvl="3" w:tplc="0C09000F" w:tentative="1">
      <w:start w:val="1"/>
      <w:numFmt w:val="decimal"/>
      <w:lvlText w:val="%4."/>
      <w:lvlJc w:val="left"/>
      <w:pPr>
        <w:ind w:left="2945" w:hanging="360"/>
      </w:pPr>
    </w:lvl>
    <w:lvl w:ilvl="4" w:tplc="0C090019" w:tentative="1">
      <w:start w:val="1"/>
      <w:numFmt w:val="lowerLetter"/>
      <w:lvlText w:val="%5."/>
      <w:lvlJc w:val="left"/>
      <w:pPr>
        <w:ind w:left="3665" w:hanging="360"/>
      </w:pPr>
    </w:lvl>
    <w:lvl w:ilvl="5" w:tplc="0C09001B" w:tentative="1">
      <w:start w:val="1"/>
      <w:numFmt w:val="lowerRoman"/>
      <w:lvlText w:val="%6."/>
      <w:lvlJc w:val="right"/>
      <w:pPr>
        <w:ind w:left="4385" w:hanging="180"/>
      </w:pPr>
    </w:lvl>
    <w:lvl w:ilvl="6" w:tplc="0C09000F" w:tentative="1">
      <w:start w:val="1"/>
      <w:numFmt w:val="decimal"/>
      <w:lvlText w:val="%7."/>
      <w:lvlJc w:val="left"/>
      <w:pPr>
        <w:ind w:left="5105" w:hanging="360"/>
      </w:pPr>
    </w:lvl>
    <w:lvl w:ilvl="7" w:tplc="0C090019" w:tentative="1">
      <w:start w:val="1"/>
      <w:numFmt w:val="lowerLetter"/>
      <w:lvlText w:val="%8."/>
      <w:lvlJc w:val="left"/>
      <w:pPr>
        <w:ind w:left="5825" w:hanging="360"/>
      </w:pPr>
    </w:lvl>
    <w:lvl w:ilvl="8" w:tplc="0C09001B" w:tentative="1">
      <w:start w:val="1"/>
      <w:numFmt w:val="lowerRoman"/>
      <w:lvlText w:val="%9."/>
      <w:lvlJc w:val="right"/>
      <w:pPr>
        <w:ind w:left="6545" w:hanging="180"/>
      </w:pPr>
    </w:lvl>
  </w:abstractNum>
  <w:abstractNum w:abstractNumId="4" w15:restartNumberingAfterBreak="0">
    <w:nsid w:val="35E251A8"/>
    <w:multiLevelType w:val="hybridMultilevel"/>
    <w:tmpl w:val="ECAAB8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D257862"/>
    <w:multiLevelType w:val="hybridMultilevel"/>
    <w:tmpl w:val="3814E8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CB33B5B"/>
    <w:multiLevelType w:val="hybridMultilevel"/>
    <w:tmpl w:val="A5F099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E555AA3"/>
    <w:multiLevelType w:val="hybridMultilevel"/>
    <w:tmpl w:val="D25CC122"/>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8" w15:restartNumberingAfterBreak="0">
    <w:nsid w:val="7E9F64CB"/>
    <w:multiLevelType w:val="hybridMultilevel"/>
    <w:tmpl w:val="2CC85D24"/>
    <w:lvl w:ilvl="0" w:tplc="1C1EF2CE">
      <w:numFmt w:val="bullet"/>
      <w:lvlText w:val="•"/>
      <w:lvlJc w:val="left"/>
      <w:pPr>
        <w:ind w:left="1260" w:hanging="420"/>
      </w:pPr>
      <w:rPr>
        <w:rFonts w:ascii="Times New Roman" w:eastAsiaTheme="minorEastAsia" w:hAnsi="Times New Roman" w:cs="Times New Roman" w:hint="default"/>
      </w:rPr>
    </w:lvl>
    <w:lvl w:ilvl="1" w:tplc="0C090003" w:tentative="1">
      <w:start w:val="1"/>
      <w:numFmt w:val="bullet"/>
      <w:lvlText w:val="o"/>
      <w:lvlJc w:val="left"/>
      <w:pPr>
        <w:ind w:left="1855" w:hanging="360"/>
      </w:pPr>
      <w:rPr>
        <w:rFonts w:ascii="Courier New" w:hAnsi="Courier New" w:cs="Courier New" w:hint="default"/>
      </w:rPr>
    </w:lvl>
    <w:lvl w:ilvl="2" w:tplc="0C090005" w:tentative="1">
      <w:start w:val="1"/>
      <w:numFmt w:val="bullet"/>
      <w:lvlText w:val=""/>
      <w:lvlJc w:val="left"/>
      <w:pPr>
        <w:ind w:left="2575" w:hanging="360"/>
      </w:pPr>
      <w:rPr>
        <w:rFonts w:ascii="Wingdings" w:hAnsi="Wingdings" w:hint="default"/>
      </w:rPr>
    </w:lvl>
    <w:lvl w:ilvl="3" w:tplc="0C090001" w:tentative="1">
      <w:start w:val="1"/>
      <w:numFmt w:val="bullet"/>
      <w:lvlText w:val=""/>
      <w:lvlJc w:val="left"/>
      <w:pPr>
        <w:ind w:left="3295" w:hanging="360"/>
      </w:pPr>
      <w:rPr>
        <w:rFonts w:ascii="Symbol" w:hAnsi="Symbol" w:hint="default"/>
      </w:rPr>
    </w:lvl>
    <w:lvl w:ilvl="4" w:tplc="0C090003" w:tentative="1">
      <w:start w:val="1"/>
      <w:numFmt w:val="bullet"/>
      <w:lvlText w:val="o"/>
      <w:lvlJc w:val="left"/>
      <w:pPr>
        <w:ind w:left="4015" w:hanging="360"/>
      </w:pPr>
      <w:rPr>
        <w:rFonts w:ascii="Courier New" w:hAnsi="Courier New" w:cs="Courier New" w:hint="default"/>
      </w:rPr>
    </w:lvl>
    <w:lvl w:ilvl="5" w:tplc="0C090005" w:tentative="1">
      <w:start w:val="1"/>
      <w:numFmt w:val="bullet"/>
      <w:lvlText w:val=""/>
      <w:lvlJc w:val="left"/>
      <w:pPr>
        <w:ind w:left="4735" w:hanging="360"/>
      </w:pPr>
      <w:rPr>
        <w:rFonts w:ascii="Wingdings" w:hAnsi="Wingdings" w:hint="default"/>
      </w:rPr>
    </w:lvl>
    <w:lvl w:ilvl="6" w:tplc="0C090001" w:tentative="1">
      <w:start w:val="1"/>
      <w:numFmt w:val="bullet"/>
      <w:lvlText w:val=""/>
      <w:lvlJc w:val="left"/>
      <w:pPr>
        <w:ind w:left="5455" w:hanging="360"/>
      </w:pPr>
      <w:rPr>
        <w:rFonts w:ascii="Symbol" w:hAnsi="Symbol" w:hint="default"/>
      </w:rPr>
    </w:lvl>
    <w:lvl w:ilvl="7" w:tplc="0C090003" w:tentative="1">
      <w:start w:val="1"/>
      <w:numFmt w:val="bullet"/>
      <w:lvlText w:val="o"/>
      <w:lvlJc w:val="left"/>
      <w:pPr>
        <w:ind w:left="6175" w:hanging="360"/>
      </w:pPr>
      <w:rPr>
        <w:rFonts w:ascii="Courier New" w:hAnsi="Courier New" w:cs="Courier New" w:hint="default"/>
      </w:rPr>
    </w:lvl>
    <w:lvl w:ilvl="8" w:tplc="0C090005" w:tentative="1">
      <w:start w:val="1"/>
      <w:numFmt w:val="bullet"/>
      <w:lvlText w:val=""/>
      <w:lvlJc w:val="left"/>
      <w:pPr>
        <w:ind w:left="6895" w:hanging="360"/>
      </w:pPr>
      <w:rPr>
        <w:rFonts w:ascii="Wingdings" w:hAnsi="Wingdings" w:hint="default"/>
      </w:rPr>
    </w:lvl>
  </w:abstractNum>
  <w:num w:numId="1" w16cid:durableId="1312558675">
    <w:abstractNumId w:val="6"/>
  </w:num>
  <w:num w:numId="2" w16cid:durableId="2112509999">
    <w:abstractNumId w:val="5"/>
  </w:num>
  <w:num w:numId="3" w16cid:durableId="1641106013">
    <w:abstractNumId w:val="4"/>
  </w:num>
  <w:num w:numId="4" w16cid:durableId="769735950">
    <w:abstractNumId w:val="1"/>
  </w:num>
  <w:num w:numId="5" w16cid:durableId="1658223595">
    <w:abstractNumId w:val="2"/>
  </w:num>
  <w:num w:numId="6" w16cid:durableId="152570257">
    <w:abstractNumId w:val="7"/>
  </w:num>
  <w:num w:numId="7" w16cid:durableId="638145263">
    <w:abstractNumId w:val="0"/>
  </w:num>
  <w:num w:numId="8" w16cid:durableId="2019119855">
    <w:abstractNumId w:val="3"/>
  </w:num>
  <w:num w:numId="9" w16cid:durableId="760373624">
    <w:abstractNumId w:val="8"/>
  </w:num>
  <w:num w:numId="10" w16cid:durableId="1254555841">
    <w:abstractNumId w:val="6"/>
  </w:num>
  <w:num w:numId="11" w16cid:durableId="19504263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jI2NzcztzAyA7KNDZR0lIJTi4sz8/NACgxrASSp9losAAAA"/>
  </w:docVars>
  <w:rsids>
    <w:rsidRoot w:val="00DE19BE"/>
    <w:rsid w:val="000120F7"/>
    <w:rsid w:val="00023710"/>
    <w:rsid w:val="00034B17"/>
    <w:rsid w:val="000773B7"/>
    <w:rsid w:val="0008782F"/>
    <w:rsid w:val="000A3C23"/>
    <w:rsid w:val="00113939"/>
    <w:rsid w:val="00160919"/>
    <w:rsid w:val="001867FE"/>
    <w:rsid w:val="00193163"/>
    <w:rsid w:val="001E06F3"/>
    <w:rsid w:val="001E299F"/>
    <w:rsid w:val="0027195C"/>
    <w:rsid w:val="002E1D4D"/>
    <w:rsid w:val="002E5572"/>
    <w:rsid w:val="00311900"/>
    <w:rsid w:val="00326C7C"/>
    <w:rsid w:val="003322FC"/>
    <w:rsid w:val="003975CD"/>
    <w:rsid w:val="003D2F4B"/>
    <w:rsid w:val="004232B1"/>
    <w:rsid w:val="004A75C8"/>
    <w:rsid w:val="006078B4"/>
    <w:rsid w:val="00621BBB"/>
    <w:rsid w:val="00660CE9"/>
    <w:rsid w:val="006B5E06"/>
    <w:rsid w:val="007023DE"/>
    <w:rsid w:val="00764C8F"/>
    <w:rsid w:val="0079012A"/>
    <w:rsid w:val="007F7C37"/>
    <w:rsid w:val="008111E6"/>
    <w:rsid w:val="008C5309"/>
    <w:rsid w:val="009005AD"/>
    <w:rsid w:val="00904F6D"/>
    <w:rsid w:val="009946C1"/>
    <w:rsid w:val="009A05CA"/>
    <w:rsid w:val="009A091C"/>
    <w:rsid w:val="00A27963"/>
    <w:rsid w:val="00A44149"/>
    <w:rsid w:val="00A937AC"/>
    <w:rsid w:val="00B501B4"/>
    <w:rsid w:val="00D07273"/>
    <w:rsid w:val="00D55FF3"/>
    <w:rsid w:val="00DE19BE"/>
    <w:rsid w:val="00E032F7"/>
    <w:rsid w:val="00E35952"/>
    <w:rsid w:val="00E8514D"/>
    <w:rsid w:val="00F05A98"/>
    <w:rsid w:val="00F13F7F"/>
    <w:rsid w:val="00FF5E2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9B43F"/>
  <w15:chartTrackingRefBased/>
  <w15:docId w15:val="{F12A6815-40B1-48BF-A283-E1AF47C1B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9BE"/>
    <w:pPr>
      <w:spacing w:after="0" w:line="260" w:lineRule="atLeast"/>
      <w:jc w:val="both"/>
    </w:pPr>
    <w:rPr>
      <w:rFonts w:ascii="Palatino Linotype" w:eastAsia="宋体" w:hAnsi="Palatino Linotype" w:cs="Times New Roman"/>
      <w:color w:val="000000"/>
      <w:sz w:val="20"/>
      <w:szCs w:val="20"/>
      <w:lang w:val="en-US" w:eastAsia="zh-CN"/>
    </w:rPr>
  </w:style>
  <w:style w:type="paragraph" w:styleId="1">
    <w:name w:val="heading 1"/>
    <w:basedOn w:val="a"/>
    <w:next w:val="a"/>
    <w:link w:val="10"/>
    <w:uiPriority w:val="9"/>
    <w:qFormat/>
    <w:rsid w:val="00DE19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E19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E19B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E19B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E19B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E19BE"/>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E19BE"/>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E19BE"/>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E19BE"/>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E19BE"/>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DE19BE"/>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DE19BE"/>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DE19BE"/>
    <w:rPr>
      <w:rFonts w:eastAsiaTheme="majorEastAsia" w:cstheme="majorBidi"/>
      <w:i/>
      <w:iCs/>
      <w:color w:val="0F4761" w:themeColor="accent1" w:themeShade="BF"/>
    </w:rPr>
  </w:style>
  <w:style w:type="character" w:customStyle="1" w:styleId="50">
    <w:name w:val="标题 5 字符"/>
    <w:basedOn w:val="a0"/>
    <w:link w:val="5"/>
    <w:uiPriority w:val="9"/>
    <w:semiHidden/>
    <w:rsid w:val="00DE19BE"/>
    <w:rPr>
      <w:rFonts w:eastAsiaTheme="majorEastAsia" w:cstheme="majorBidi"/>
      <w:color w:val="0F4761" w:themeColor="accent1" w:themeShade="BF"/>
    </w:rPr>
  </w:style>
  <w:style w:type="character" w:customStyle="1" w:styleId="60">
    <w:name w:val="标题 6 字符"/>
    <w:basedOn w:val="a0"/>
    <w:link w:val="6"/>
    <w:uiPriority w:val="9"/>
    <w:semiHidden/>
    <w:rsid w:val="00DE19BE"/>
    <w:rPr>
      <w:rFonts w:eastAsiaTheme="majorEastAsia" w:cstheme="majorBidi"/>
      <w:i/>
      <w:iCs/>
      <w:color w:val="595959" w:themeColor="text1" w:themeTint="A6"/>
    </w:rPr>
  </w:style>
  <w:style w:type="character" w:customStyle="1" w:styleId="70">
    <w:name w:val="标题 7 字符"/>
    <w:basedOn w:val="a0"/>
    <w:link w:val="7"/>
    <w:uiPriority w:val="9"/>
    <w:semiHidden/>
    <w:rsid w:val="00DE19BE"/>
    <w:rPr>
      <w:rFonts w:eastAsiaTheme="majorEastAsia" w:cstheme="majorBidi"/>
      <w:color w:val="595959" w:themeColor="text1" w:themeTint="A6"/>
    </w:rPr>
  </w:style>
  <w:style w:type="character" w:customStyle="1" w:styleId="80">
    <w:name w:val="标题 8 字符"/>
    <w:basedOn w:val="a0"/>
    <w:link w:val="8"/>
    <w:uiPriority w:val="9"/>
    <w:semiHidden/>
    <w:rsid w:val="00DE19BE"/>
    <w:rPr>
      <w:rFonts w:eastAsiaTheme="majorEastAsia" w:cstheme="majorBidi"/>
      <w:i/>
      <w:iCs/>
      <w:color w:val="272727" w:themeColor="text1" w:themeTint="D8"/>
    </w:rPr>
  </w:style>
  <w:style w:type="character" w:customStyle="1" w:styleId="90">
    <w:name w:val="标题 9 字符"/>
    <w:basedOn w:val="a0"/>
    <w:link w:val="9"/>
    <w:uiPriority w:val="9"/>
    <w:semiHidden/>
    <w:rsid w:val="00DE19BE"/>
    <w:rPr>
      <w:rFonts w:eastAsiaTheme="majorEastAsia" w:cstheme="majorBidi"/>
      <w:color w:val="272727" w:themeColor="text1" w:themeTint="D8"/>
    </w:rPr>
  </w:style>
  <w:style w:type="paragraph" w:styleId="a3">
    <w:name w:val="Title"/>
    <w:basedOn w:val="a"/>
    <w:next w:val="a"/>
    <w:link w:val="a4"/>
    <w:uiPriority w:val="10"/>
    <w:qFormat/>
    <w:rsid w:val="00DE19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E19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E19BE"/>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DE19B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E19BE"/>
    <w:pPr>
      <w:spacing w:before="160"/>
      <w:jc w:val="center"/>
    </w:pPr>
    <w:rPr>
      <w:i/>
      <w:iCs/>
      <w:color w:val="404040" w:themeColor="text1" w:themeTint="BF"/>
    </w:rPr>
  </w:style>
  <w:style w:type="character" w:customStyle="1" w:styleId="a8">
    <w:name w:val="引用 字符"/>
    <w:basedOn w:val="a0"/>
    <w:link w:val="a7"/>
    <w:uiPriority w:val="29"/>
    <w:rsid w:val="00DE19BE"/>
    <w:rPr>
      <w:i/>
      <w:iCs/>
      <w:color w:val="404040" w:themeColor="text1" w:themeTint="BF"/>
    </w:rPr>
  </w:style>
  <w:style w:type="paragraph" w:styleId="a9">
    <w:name w:val="List Paragraph"/>
    <w:basedOn w:val="a"/>
    <w:uiPriority w:val="34"/>
    <w:qFormat/>
    <w:rsid w:val="00DE19BE"/>
    <w:pPr>
      <w:ind w:left="720"/>
      <w:contextualSpacing/>
    </w:pPr>
  </w:style>
  <w:style w:type="character" w:styleId="aa">
    <w:name w:val="Intense Emphasis"/>
    <w:basedOn w:val="a0"/>
    <w:uiPriority w:val="21"/>
    <w:qFormat/>
    <w:rsid w:val="00DE19BE"/>
    <w:rPr>
      <w:i/>
      <w:iCs/>
      <w:color w:val="0F4761" w:themeColor="accent1" w:themeShade="BF"/>
    </w:rPr>
  </w:style>
  <w:style w:type="paragraph" w:styleId="ab">
    <w:name w:val="Intense Quote"/>
    <w:basedOn w:val="a"/>
    <w:next w:val="a"/>
    <w:link w:val="ac"/>
    <w:uiPriority w:val="30"/>
    <w:qFormat/>
    <w:rsid w:val="00DE19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DE19BE"/>
    <w:rPr>
      <w:i/>
      <w:iCs/>
      <w:color w:val="0F4761" w:themeColor="accent1" w:themeShade="BF"/>
    </w:rPr>
  </w:style>
  <w:style w:type="character" w:styleId="ad">
    <w:name w:val="Intense Reference"/>
    <w:basedOn w:val="a0"/>
    <w:uiPriority w:val="32"/>
    <w:qFormat/>
    <w:rsid w:val="00DE19BE"/>
    <w:rPr>
      <w:b/>
      <w:bCs/>
      <w:smallCaps/>
      <w:color w:val="0F4761" w:themeColor="accent1" w:themeShade="BF"/>
      <w:spacing w:val="5"/>
    </w:rPr>
  </w:style>
  <w:style w:type="paragraph" w:customStyle="1" w:styleId="MDPI31text">
    <w:name w:val="MDPI_3.1_text"/>
    <w:qFormat/>
    <w:rsid w:val="00DE19BE"/>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paragraph" w:customStyle="1" w:styleId="MDPI21heading1">
    <w:name w:val="MDPI_2.1_heading1"/>
    <w:basedOn w:val="a"/>
    <w:qFormat/>
    <w:rsid w:val="00DE19BE"/>
    <w:pPr>
      <w:adjustRightInd w:val="0"/>
      <w:snapToGrid w:val="0"/>
      <w:spacing w:before="240" w:after="120"/>
      <w:jc w:val="left"/>
      <w:outlineLvl w:val="0"/>
    </w:pPr>
    <w:rPr>
      <w:rFonts w:eastAsia="Times New Roman"/>
      <w:b/>
      <w:snapToGrid w:val="0"/>
      <w:szCs w:val="22"/>
      <w:lang w:eastAsia="de-DE" w:bidi="en-US"/>
    </w:rPr>
  </w:style>
  <w:style w:type="paragraph" w:styleId="ae">
    <w:name w:val="caption"/>
    <w:basedOn w:val="a"/>
    <w:next w:val="a"/>
    <w:uiPriority w:val="35"/>
    <w:unhideWhenUsed/>
    <w:qFormat/>
    <w:rsid w:val="007F7C37"/>
    <w:pPr>
      <w:spacing w:after="200" w:line="240" w:lineRule="auto"/>
      <w:jc w:val="left"/>
    </w:pPr>
    <w:rPr>
      <w:rFonts w:ascii="Times New Roman" w:eastAsiaTheme="minorHAnsi" w:hAnsi="Times New Roman" w:cstheme="minorBidi"/>
      <w:i/>
      <w:iCs/>
      <w:color w:val="0E2841" w:themeColor="text2"/>
      <w:sz w:val="18"/>
      <w:szCs w:val="18"/>
      <w:lang w:val="en-AU" w:eastAsia="en-US"/>
    </w:rPr>
  </w:style>
  <w:style w:type="table" w:customStyle="1" w:styleId="TableGrid1">
    <w:name w:val="Table Grid1"/>
    <w:basedOn w:val="a1"/>
    <w:next w:val="af"/>
    <w:uiPriority w:val="39"/>
    <w:rsid w:val="00A2796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A27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6B5E06"/>
    <w:pPr>
      <w:tabs>
        <w:tab w:val="center" w:pos="4513"/>
        <w:tab w:val="right" w:pos="9026"/>
      </w:tabs>
      <w:spacing w:line="240" w:lineRule="auto"/>
    </w:pPr>
  </w:style>
  <w:style w:type="character" w:customStyle="1" w:styleId="af1">
    <w:name w:val="页眉 字符"/>
    <w:basedOn w:val="a0"/>
    <w:link w:val="af0"/>
    <w:uiPriority w:val="99"/>
    <w:rsid w:val="006B5E06"/>
    <w:rPr>
      <w:rFonts w:ascii="Palatino Linotype" w:eastAsia="宋体" w:hAnsi="Palatino Linotype" w:cs="Times New Roman"/>
      <w:color w:val="000000"/>
      <w:sz w:val="20"/>
      <w:szCs w:val="20"/>
      <w:lang w:val="en-US" w:eastAsia="zh-CN"/>
    </w:rPr>
  </w:style>
  <w:style w:type="paragraph" w:styleId="af2">
    <w:name w:val="footer"/>
    <w:basedOn w:val="a"/>
    <w:link w:val="af3"/>
    <w:uiPriority w:val="99"/>
    <w:unhideWhenUsed/>
    <w:rsid w:val="006B5E06"/>
    <w:pPr>
      <w:tabs>
        <w:tab w:val="center" w:pos="4513"/>
        <w:tab w:val="right" w:pos="9026"/>
      </w:tabs>
      <w:spacing w:line="240" w:lineRule="auto"/>
    </w:pPr>
  </w:style>
  <w:style w:type="character" w:customStyle="1" w:styleId="af3">
    <w:name w:val="页脚 字符"/>
    <w:basedOn w:val="a0"/>
    <w:link w:val="af2"/>
    <w:uiPriority w:val="99"/>
    <w:rsid w:val="006B5E06"/>
    <w:rPr>
      <w:rFonts w:ascii="Palatino Linotype" w:eastAsia="宋体" w:hAnsi="Palatino Linotype" w:cs="Times New Roman"/>
      <w:color w:val="000000"/>
      <w:sz w:val="20"/>
      <w:szCs w:val="20"/>
      <w:lang w:val="en-US" w:eastAsia="zh-CN"/>
    </w:rPr>
  </w:style>
  <w:style w:type="paragraph" w:styleId="af4">
    <w:name w:val="annotation text"/>
    <w:basedOn w:val="a"/>
    <w:link w:val="af5"/>
    <w:rsid w:val="006B5E06"/>
    <w:rPr>
      <w:rFonts w:eastAsiaTheme="minorEastAsia"/>
    </w:rPr>
  </w:style>
  <w:style w:type="character" w:customStyle="1" w:styleId="af5">
    <w:name w:val="批注文字 字符"/>
    <w:basedOn w:val="a0"/>
    <w:link w:val="af4"/>
    <w:rsid w:val="006B5E06"/>
    <w:rPr>
      <w:rFonts w:ascii="Palatino Linotype" w:eastAsiaTheme="minorEastAsia" w:hAnsi="Palatino Linotype" w:cs="Times New Roman"/>
      <w:color w:val="000000"/>
      <w:sz w:val="20"/>
      <w:szCs w:val="20"/>
      <w:lang w:val="en-US" w:eastAsia="zh-CN"/>
    </w:rPr>
  </w:style>
  <w:style w:type="character" w:styleId="af6">
    <w:name w:val="annotation reference"/>
    <w:basedOn w:val="a0"/>
    <w:rsid w:val="006B5E06"/>
    <w:rPr>
      <w:sz w:val="21"/>
      <w:szCs w:val="21"/>
    </w:rPr>
  </w:style>
  <w:style w:type="paragraph" w:customStyle="1" w:styleId="MDPI51figurecaption">
    <w:name w:val="MDPI_5.1_figure_caption"/>
    <w:basedOn w:val="a"/>
    <w:qFormat/>
    <w:rsid w:val="006B5E06"/>
    <w:pPr>
      <w:adjustRightInd w:val="0"/>
      <w:snapToGrid w:val="0"/>
      <w:spacing w:before="120" w:after="240"/>
      <w:ind w:left="425" w:right="425"/>
    </w:pPr>
    <w:rPr>
      <w:rFonts w:eastAsia="Times New Roman"/>
      <w:sz w:val="18"/>
      <w:lang w:eastAsia="de-DE" w:bidi="en-US"/>
    </w:rPr>
  </w:style>
  <w:style w:type="paragraph" w:customStyle="1" w:styleId="Scilight41tablecaption">
    <w:name w:val="Scilight_4.1_table_caption"/>
    <w:qFormat/>
    <w:rsid w:val="001E06F3"/>
    <w:pPr>
      <w:adjustRightInd w:val="0"/>
      <w:snapToGrid w:val="0"/>
      <w:spacing w:before="240" w:after="120" w:line="260" w:lineRule="atLeast"/>
      <w:ind w:left="425" w:right="425"/>
    </w:pPr>
    <w:rPr>
      <w:rFonts w:ascii="Times New Roman" w:eastAsia="Times New Roman" w:hAnsi="Times New Roman"/>
      <w:color w:val="000000"/>
      <w:sz w:val="18"/>
      <w:lang w:val="en-US" w:eastAsia="de-DE" w:bidi="en-US"/>
      <w14:ligatures w14:val="standardContextual"/>
    </w:rPr>
  </w:style>
  <w:style w:type="paragraph" w:styleId="af7">
    <w:name w:val="Revision"/>
    <w:hidden/>
    <w:uiPriority w:val="99"/>
    <w:semiHidden/>
    <w:rsid w:val="0027195C"/>
    <w:pPr>
      <w:spacing w:after="0" w:line="240" w:lineRule="auto"/>
    </w:pPr>
    <w:rPr>
      <w:rFonts w:ascii="Palatino Linotype" w:eastAsia="宋体" w:hAnsi="Palatino Linotype" w:cs="Times New Roman"/>
      <w:color w:val="000000"/>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4150</Words>
  <Characters>23657</Characters>
  <Application>Microsoft Office Word</Application>
  <DocSecurity>0</DocSecurity>
  <Lines>197</Lines>
  <Paragraphs>55</Paragraphs>
  <ScaleCrop>false</ScaleCrop>
  <Company>The University of Adelaide</Company>
  <LinksUpToDate>false</LinksUpToDate>
  <CharactersWithSpaces>27752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Sharyn Gaskin</dc:creator>
  <cp:keywords/>
  <dc:description/>
  <cp:lastModifiedBy>Shaolan Xu</cp:lastModifiedBy>
  <cp:revision>4</cp:revision>
  <dcterms:created xsi:type="dcterms:W3CDTF">2026-08-27T06:31:00Z</dcterms:created>
  <dcterms:modified xsi:type="dcterms:W3CDTF">2026-08-28T08:03:00Z</dcterms:modified>
</cp:coreProperties>
</file>